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007FC" w:rsidRPr="00B007FC" w:rsidTr="004C037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F42D4B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007FC"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362B1" w:rsidRPr="00144801" w:rsidRDefault="002362B1" w:rsidP="001A2267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1A2267" w:rsidRPr="001A2267" w:rsidRDefault="001A2267" w:rsidP="001A2267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1A2267" w:rsidRPr="001A2267" w:rsidRDefault="006E43C4" w:rsidP="001A2267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A3FAE">
        <w:rPr>
          <w:rFonts w:ascii="Verdana" w:hAnsi="Verdana"/>
          <w:b/>
          <w:sz w:val="20"/>
          <w:szCs w:val="20"/>
          <w:lang w:val="bg-BG"/>
        </w:rPr>
        <w:t xml:space="preserve">ГОДИШНА </w:t>
      </w:r>
      <w:r w:rsidR="001A2267" w:rsidRPr="001A2267">
        <w:rPr>
          <w:rFonts w:ascii="Verdana" w:hAnsi="Verdana"/>
          <w:b/>
          <w:sz w:val="20"/>
          <w:szCs w:val="20"/>
          <w:lang w:val="bg-BG"/>
        </w:rPr>
        <w:t>ОБЛАСТНА ПЛАН-ПРОГРАМА ПО БДП</w:t>
      </w:r>
    </w:p>
    <w:p w:rsidR="001A2267" w:rsidRPr="001A2267" w:rsidRDefault="001A2267" w:rsidP="001A2267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</w:p>
    <w:p w:rsidR="001A2267" w:rsidRPr="001A2267" w:rsidRDefault="001A2267" w:rsidP="001A2267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1A2267" w:rsidRPr="001A2267" w:rsidTr="001A2267">
        <w:tc>
          <w:tcPr>
            <w:tcW w:w="2405" w:type="dxa"/>
            <w:shd w:val="clear" w:color="auto" w:fill="7030A0"/>
          </w:tcPr>
          <w:p w:rsidR="001A2267" w:rsidRPr="001A2267" w:rsidRDefault="001A2267" w:rsidP="001A2267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4"/>
                <w:szCs w:val="20"/>
                <w:lang w:val="bg-BG"/>
              </w:rPr>
            </w:pPr>
            <w:r w:rsidRPr="001A2267">
              <w:rPr>
                <w:rFonts w:ascii="Verdana" w:hAnsi="Verdana"/>
                <w:b/>
                <w:color w:val="FFFFFF"/>
                <w:sz w:val="24"/>
                <w:szCs w:val="20"/>
                <w:lang w:val="bg-BG"/>
              </w:rPr>
              <w:t>ОБЛАСТ</w:t>
            </w:r>
          </w:p>
          <w:p w:rsidR="001A2267" w:rsidRPr="00B41AB0" w:rsidRDefault="001A2267" w:rsidP="001A2267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A2267" w:rsidRPr="001A2267" w:rsidRDefault="002707BF" w:rsidP="002707BF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ПЕРНИК</w:t>
            </w:r>
          </w:p>
        </w:tc>
      </w:tr>
      <w:tr w:rsidR="001A2267" w:rsidRPr="001A2267" w:rsidTr="001A2267">
        <w:trPr>
          <w:trHeight w:val="77"/>
        </w:trPr>
        <w:tc>
          <w:tcPr>
            <w:tcW w:w="2405" w:type="dxa"/>
            <w:shd w:val="clear" w:color="auto" w:fill="7030A0"/>
          </w:tcPr>
          <w:p w:rsidR="001A2267" w:rsidRDefault="001A2267" w:rsidP="00B41AB0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4"/>
                <w:szCs w:val="20"/>
                <w:lang w:val="bg-BG"/>
              </w:rPr>
            </w:pPr>
            <w:r w:rsidRPr="001A2267">
              <w:rPr>
                <w:rFonts w:ascii="Verdana" w:hAnsi="Verdana"/>
                <w:b/>
                <w:color w:val="FFFFFF"/>
                <w:sz w:val="24"/>
                <w:szCs w:val="20"/>
                <w:lang w:val="bg-BG"/>
              </w:rPr>
              <w:t>ГОДИНА</w:t>
            </w:r>
          </w:p>
          <w:p w:rsidR="00B41AB0" w:rsidRPr="00B41AB0" w:rsidRDefault="00B41AB0" w:rsidP="00B41AB0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A2267" w:rsidRPr="001A2267" w:rsidRDefault="002707BF" w:rsidP="002707BF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2023г.</w:t>
            </w:r>
          </w:p>
        </w:tc>
      </w:tr>
    </w:tbl>
    <w:p w:rsidR="001A2267" w:rsidRPr="001A2267" w:rsidRDefault="001A2267" w:rsidP="00714482">
      <w:pPr>
        <w:shd w:val="clear" w:color="auto" w:fill="FFFFFF"/>
        <w:ind w:right="-461"/>
        <w:rPr>
          <w:rFonts w:ascii="Verdana" w:hAnsi="Verdana"/>
          <w:b/>
          <w:i/>
          <w:color w:val="595959"/>
          <w:sz w:val="8"/>
          <w:szCs w:val="8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Мерките в таблицата по-долу произтичат от Националната стратегия за БДП 2021-2030 г. и Плана за действие към нея и се отнасят за всички ОКБДП, поради което са предварително дефинирани и унифицирани. Те се приемат като мерки с постоянен характер и следва да се интегрират текущо в дейността на ОКБДП. </w:t>
      </w:r>
      <w:r w:rsidR="00201B77">
        <w:rPr>
          <w:rFonts w:ascii="Verdana" w:hAnsi="Verdana"/>
          <w:i/>
          <w:color w:val="595959"/>
          <w:sz w:val="20"/>
          <w:szCs w:val="20"/>
          <w:lang w:val="bg-BG"/>
        </w:rPr>
        <w:t xml:space="preserve">Срокът на мерките се приема за </w:t>
      </w:r>
      <w:r w:rsidR="00C74E24">
        <w:rPr>
          <w:rFonts w:ascii="Verdana" w:hAnsi="Verdana"/>
          <w:i/>
          <w:color w:val="595959"/>
          <w:sz w:val="20"/>
          <w:szCs w:val="20"/>
          <w:lang w:val="bg-BG"/>
        </w:rPr>
        <w:t>текущ/</w:t>
      </w:r>
      <w:r w:rsidR="00201B77">
        <w:rPr>
          <w:rFonts w:ascii="Verdana" w:hAnsi="Verdana"/>
          <w:i/>
          <w:color w:val="595959"/>
          <w:sz w:val="20"/>
          <w:szCs w:val="20"/>
          <w:lang w:val="bg-BG"/>
        </w:rPr>
        <w:t xml:space="preserve">постоянен, освен ако не е указано друго. 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Мярка </w:t>
      </w:r>
      <w:r w:rsidR="0026541F">
        <w:rPr>
          <w:rFonts w:ascii="Verdana" w:hAnsi="Verdana"/>
          <w:i/>
          <w:color w:val="595959"/>
          <w:sz w:val="20"/>
          <w:szCs w:val="20"/>
          <w:lang w:val="bg-BG"/>
        </w:rPr>
        <w:t>4</w:t>
      </w:r>
      <w:r w:rsidR="0040170F">
        <w:rPr>
          <w:rFonts w:ascii="Verdana" w:hAnsi="Verdana"/>
          <w:i/>
          <w:color w:val="595959"/>
          <w:sz w:val="20"/>
          <w:szCs w:val="20"/>
          <w:lang w:val="bg-BG"/>
        </w:rPr>
        <w:t>3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Конкретни мерки за подобряване на пътната безопасност по републиканската пътна мрежа и Мярка </w:t>
      </w:r>
      <w:r w:rsidR="0026541F">
        <w:rPr>
          <w:rFonts w:ascii="Verdana" w:hAnsi="Verdana"/>
          <w:i/>
          <w:color w:val="595959"/>
          <w:sz w:val="20"/>
          <w:szCs w:val="20"/>
          <w:lang w:val="bg-BG"/>
        </w:rPr>
        <w:t>4</w:t>
      </w:r>
      <w:r w:rsidR="0040170F">
        <w:rPr>
          <w:rFonts w:ascii="Verdana" w:hAnsi="Verdana"/>
          <w:i/>
          <w:color w:val="595959"/>
          <w:sz w:val="20"/>
          <w:szCs w:val="20"/>
          <w:lang w:val="bg-BG"/>
        </w:rPr>
        <w:t>4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Конкретни мерки за подобряване на пътната безопасност по общинската пътна и улична мрежа </w:t>
      </w:r>
      <w:r w:rsidRPr="00965F2E">
        <w:rPr>
          <w:rFonts w:ascii="Verdana" w:hAnsi="Verdana"/>
          <w:b/>
          <w:i/>
          <w:color w:val="595959"/>
          <w:sz w:val="20"/>
          <w:szCs w:val="20"/>
          <w:lang w:val="bg-BG"/>
        </w:rPr>
        <w:t xml:space="preserve">следва да се </w:t>
      </w:r>
      <w:r w:rsidR="00C52B05">
        <w:rPr>
          <w:rFonts w:ascii="Verdana" w:hAnsi="Verdana"/>
          <w:b/>
          <w:i/>
          <w:color w:val="595959"/>
          <w:sz w:val="20"/>
          <w:szCs w:val="20"/>
          <w:lang w:val="bg-BG"/>
        </w:rPr>
        <w:t>включат и представят</w:t>
      </w:r>
      <w:r w:rsidRPr="00965F2E">
        <w:rPr>
          <w:rFonts w:ascii="Verdana" w:hAnsi="Verdana"/>
          <w:b/>
          <w:i/>
          <w:color w:val="595959"/>
          <w:sz w:val="20"/>
          <w:szCs w:val="20"/>
          <w:lang w:val="bg-BG"/>
        </w:rPr>
        <w:t xml:space="preserve"> допълнително в конкретика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="00091E84">
        <w:rPr>
          <w:rFonts w:ascii="Verdana" w:hAnsi="Verdana"/>
          <w:i/>
          <w:color w:val="595959"/>
          <w:sz w:val="20"/>
          <w:szCs w:val="20"/>
          <w:lang w:val="bg-BG"/>
        </w:rPr>
        <w:t xml:space="preserve">като </w:t>
      </w:r>
      <w:r w:rsidR="00935E14">
        <w:rPr>
          <w:rFonts w:ascii="Verdana" w:hAnsi="Verdana"/>
          <w:i/>
          <w:color w:val="595959"/>
          <w:sz w:val="20"/>
          <w:szCs w:val="20"/>
          <w:lang w:val="bg-BG"/>
        </w:rPr>
        <w:t>таблици</w:t>
      </w:r>
      <w:r w:rsidR="00091E84">
        <w:rPr>
          <w:rFonts w:ascii="Verdana" w:hAnsi="Verdana"/>
          <w:i/>
          <w:color w:val="595959"/>
          <w:sz w:val="20"/>
          <w:szCs w:val="20"/>
          <w:lang w:val="bg-BG"/>
        </w:rPr>
        <w:t xml:space="preserve"> – 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>информацията</w:t>
      </w:r>
      <w:r w:rsidR="00091E84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>от ОПУ и общините</w:t>
      </w:r>
      <w:r w:rsidR="00935E14">
        <w:rPr>
          <w:rFonts w:ascii="Verdana" w:hAnsi="Verdana"/>
          <w:i/>
          <w:color w:val="595959"/>
          <w:sz w:val="20"/>
          <w:szCs w:val="20"/>
          <w:lang w:val="bg-BG"/>
        </w:rPr>
        <w:t>, представени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по образец</w:t>
      </w:r>
      <w:r>
        <w:rPr>
          <w:rFonts w:ascii="Verdana" w:hAnsi="Verdana"/>
          <w:i/>
          <w:color w:val="595959"/>
          <w:sz w:val="20"/>
          <w:szCs w:val="20"/>
          <w:lang w:val="bg-BG"/>
        </w:rPr>
        <w:t>.</w:t>
      </w: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Информацията от общините и ОПУ се представя на секретариата на ОКБДП в </w:t>
      </w:r>
      <w:r w:rsidR="00B34388">
        <w:rPr>
          <w:rFonts w:ascii="Verdana" w:hAnsi="Verdana"/>
          <w:i/>
          <w:color w:val="595959"/>
          <w:sz w:val="20"/>
          <w:szCs w:val="20"/>
          <w:lang w:val="bg-BG"/>
        </w:rPr>
        <w:t xml:space="preserve">срок до </w:t>
      </w:r>
      <w:r w:rsidR="00B34388" w:rsidRPr="00C52B05">
        <w:rPr>
          <w:rFonts w:ascii="Verdana" w:hAnsi="Verdana"/>
          <w:b/>
          <w:i/>
          <w:color w:val="595959"/>
          <w:sz w:val="20"/>
          <w:szCs w:val="20"/>
          <w:lang w:val="bg-BG"/>
        </w:rPr>
        <w:t>15</w:t>
      </w:r>
      <w:r w:rsidR="00C52B05" w:rsidRPr="00C52B05">
        <w:rPr>
          <w:rFonts w:ascii="Verdana" w:hAnsi="Verdana"/>
          <w:b/>
          <w:i/>
          <w:color w:val="595959"/>
          <w:sz w:val="20"/>
          <w:szCs w:val="20"/>
          <w:lang w:val="bg-BG"/>
        </w:rPr>
        <w:t>-ти</w:t>
      </w:r>
      <w:r w:rsidR="00B34388" w:rsidRPr="00C52B05">
        <w:rPr>
          <w:rFonts w:ascii="Verdana" w:hAnsi="Verdana"/>
          <w:b/>
          <w:i/>
          <w:color w:val="595959"/>
          <w:sz w:val="20"/>
          <w:szCs w:val="20"/>
          <w:lang w:val="bg-BG"/>
        </w:rPr>
        <w:t xml:space="preserve"> януари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с цел </w:t>
      </w:r>
      <w:r w:rsidR="00091E84">
        <w:rPr>
          <w:rFonts w:ascii="Verdana" w:hAnsi="Verdana"/>
          <w:i/>
          <w:color w:val="595959"/>
          <w:sz w:val="20"/>
          <w:szCs w:val="20"/>
          <w:lang w:val="bg-BG"/>
        </w:rPr>
        <w:t>прилагането й към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областната План-програма. Секретариатът на ОКБДП своевременно организира получаването на информацията</w:t>
      </w:r>
      <w:r>
        <w:rPr>
          <w:rFonts w:ascii="Verdana" w:hAnsi="Verdana"/>
          <w:i/>
          <w:color w:val="595959"/>
          <w:sz w:val="20"/>
          <w:szCs w:val="20"/>
          <w:lang w:val="bg-BG"/>
        </w:rPr>
        <w:t>.</w:t>
      </w: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На база получената от общините и ОПУ информация за конкретни мерки, областната План-програма се съставя в </w:t>
      </w:r>
      <w:r w:rsidR="00091E84">
        <w:rPr>
          <w:rFonts w:ascii="Verdana" w:hAnsi="Verdana"/>
          <w:i/>
          <w:color w:val="595959"/>
          <w:sz w:val="20"/>
          <w:szCs w:val="20"/>
          <w:lang w:val="bg-BG"/>
        </w:rPr>
        <w:t>окомплектован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вид от секретариата на ОКБДП, разглежда се и се приема като проект на заседание, след което Областната администрация я представя в ДАБДП в срок до </w:t>
      </w:r>
      <w:r w:rsidR="00653026" w:rsidRPr="003230C1">
        <w:rPr>
          <w:rFonts w:ascii="Verdana" w:hAnsi="Verdana"/>
          <w:b/>
          <w:i/>
          <w:color w:val="595959"/>
          <w:sz w:val="20"/>
          <w:szCs w:val="20"/>
          <w:lang w:val="bg-BG"/>
        </w:rPr>
        <w:t>31</w:t>
      </w:r>
      <w:r w:rsidRPr="003230C1">
        <w:rPr>
          <w:rFonts w:ascii="Verdana" w:hAnsi="Verdana"/>
          <w:b/>
          <w:i/>
          <w:color w:val="595959"/>
          <w:sz w:val="20"/>
          <w:szCs w:val="20"/>
          <w:lang w:val="bg-BG"/>
        </w:rPr>
        <w:t>-</w:t>
      </w:r>
      <w:r w:rsidR="00653026" w:rsidRPr="003230C1">
        <w:rPr>
          <w:rFonts w:ascii="Verdana" w:hAnsi="Verdana"/>
          <w:b/>
          <w:i/>
          <w:color w:val="595959"/>
          <w:sz w:val="20"/>
          <w:szCs w:val="20"/>
          <w:lang w:val="bg-BG"/>
        </w:rPr>
        <w:t>в</w:t>
      </w:r>
      <w:r w:rsidRPr="003230C1">
        <w:rPr>
          <w:rFonts w:ascii="Verdana" w:hAnsi="Verdana"/>
          <w:b/>
          <w:i/>
          <w:color w:val="595959"/>
          <w:sz w:val="20"/>
          <w:szCs w:val="20"/>
          <w:lang w:val="bg-BG"/>
        </w:rPr>
        <w:t>и януари</w:t>
      </w: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 на плановата година. </w:t>
      </w: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 xml:space="preserve">Проектът на областна План-програма се преглежда и одобрява от ДАБДП при съответствие с изискуемите форма и съдържание. При необходимост от ревизия, ДАБДП дава съответните указания и срок за извършването й. </w:t>
      </w: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B90BD9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C10D2E">
        <w:rPr>
          <w:rFonts w:ascii="Verdana" w:hAnsi="Verdana"/>
          <w:i/>
          <w:color w:val="595959"/>
          <w:sz w:val="20"/>
          <w:szCs w:val="20"/>
          <w:lang w:val="bg-BG"/>
        </w:rPr>
        <w:t>План-програмата, в съответстващ вид и одобрена от ДАБДП, се помества на интернет страницата на ОКБДП.</w:t>
      </w:r>
    </w:p>
    <w:p w:rsidR="0045099A" w:rsidRDefault="0045099A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45099A" w:rsidRDefault="0045099A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45099A" w:rsidRDefault="0045099A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45099A" w:rsidRDefault="0045099A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6868A6" w:rsidRDefault="006868A6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6868A6" w:rsidRDefault="006868A6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C10D2E" w:rsidRPr="00C10D2E" w:rsidRDefault="00C10D2E" w:rsidP="00C10D2E">
      <w:pPr>
        <w:shd w:val="clear" w:color="auto" w:fill="FFFFFF"/>
        <w:spacing w:after="0" w:line="240" w:lineRule="auto"/>
        <w:ind w:right="-459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3261"/>
      </w:tblGrid>
      <w:tr w:rsidR="00C74E24" w:rsidRPr="001A2267" w:rsidTr="00C74E24">
        <w:tc>
          <w:tcPr>
            <w:tcW w:w="10206" w:type="dxa"/>
            <w:shd w:val="clear" w:color="auto" w:fill="FFFF00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/>
                <w:color w:val="3B3838"/>
                <w:sz w:val="20"/>
                <w:lang w:val="bg-BG"/>
              </w:rPr>
            </w:pPr>
            <w:r w:rsidRPr="001A2267">
              <w:rPr>
                <w:rFonts w:ascii="Verdana" w:hAnsi="Verdana"/>
                <w:b/>
                <w:i/>
                <w:color w:val="3B3838"/>
                <w:sz w:val="20"/>
                <w:lang w:val="bg-BG"/>
              </w:rPr>
              <w:lastRenderedPageBreak/>
              <w:t xml:space="preserve">  </w:t>
            </w:r>
            <w:r w:rsidRPr="001A2267">
              <w:rPr>
                <w:rFonts w:ascii="Verdana" w:hAnsi="Verdana"/>
                <w:b/>
                <w:color w:val="3B3838"/>
                <w:sz w:val="20"/>
                <w:lang w:val="bg-BG"/>
              </w:rPr>
              <w:t>Мярка</w:t>
            </w:r>
          </w:p>
        </w:tc>
        <w:tc>
          <w:tcPr>
            <w:tcW w:w="3261" w:type="dxa"/>
            <w:shd w:val="clear" w:color="auto" w:fill="FFFF00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/>
                <w:color w:val="3B3838"/>
                <w:sz w:val="20"/>
                <w:lang w:val="bg-BG"/>
              </w:rPr>
            </w:pPr>
            <w:r w:rsidRPr="001A2267">
              <w:rPr>
                <w:rFonts w:ascii="Verdana" w:hAnsi="Verdana"/>
                <w:b/>
                <w:color w:val="3B3838"/>
                <w:sz w:val="20"/>
                <w:lang w:val="bg-BG"/>
              </w:rPr>
              <w:t xml:space="preserve">Отговорна институция и срок 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/>
                <w:color w:val="3B3838"/>
                <w:sz w:val="20"/>
                <w:lang w:val="bg-BG"/>
              </w:rPr>
            </w:pPr>
          </w:p>
        </w:tc>
      </w:tr>
      <w:tr w:rsidR="00C74E24" w:rsidRPr="001A2267" w:rsidTr="007B21C7">
        <w:trPr>
          <w:trHeight w:val="804"/>
        </w:trPr>
        <w:tc>
          <w:tcPr>
            <w:tcW w:w="10206" w:type="dxa"/>
            <w:shd w:val="clear" w:color="auto" w:fill="FFFFFF"/>
          </w:tcPr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1. Подготовка на мерки по БДП от общините и ОПУ за целите на разработване на годишна областна план-програма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представянето им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секретариата на ОКБДП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201B7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15-ти януари</w:t>
            </w: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B52DBD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2. Систематизиране на мерките по БДП за плановата година, представени от общините и ОПУ, в единна </w:t>
            </w:r>
            <w:proofErr w:type="spellStart"/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</w:rPr>
              <w:t>a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</w:rPr>
              <w:t>a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План-програма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представяне на План-програмата в ДАБДП</w:t>
            </w:r>
          </w:p>
          <w:p w:rsidR="00C74E24" w:rsidRPr="001A2267" w:rsidRDefault="00C74E24" w:rsidP="00B52DBD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31-ви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януари </w:t>
            </w: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3. Поместване на годишната областна План-програма по БДП на интернет страницата на областна администрация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След одобряването й от ДАБДП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2D111B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Провеждане на минимум 4 редовни заседания на ОКБДП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– докладване на изпълнението;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вземане на конкретни решения </w:t>
            </w:r>
          </w:p>
          <w:p w:rsidR="00C74E24" w:rsidRPr="001A2267" w:rsidRDefault="00C74E24" w:rsidP="002D111B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971F6A" w:rsidRDefault="00971F6A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971F6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971F6A" w:rsidRPr="00971F6A" w:rsidRDefault="00971F6A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Default="00C74E24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71F6A" w:rsidRPr="001A2267" w:rsidRDefault="00971F6A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Участие в обучения за ОКБДП, организирани от ДАБДП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Съгласно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организация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на ДАБДП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rPr>
          <w:trHeight w:val="685"/>
        </w:trPr>
        <w:tc>
          <w:tcPr>
            <w:tcW w:w="10206" w:type="dxa"/>
            <w:shd w:val="clear" w:color="auto" w:fill="FFFFFF"/>
          </w:tcPr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Изпълнение на методически указания на ДАБДП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971F6A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Председател на ОКБДП</w:t>
            </w:r>
            <w:r w:rsidR="00C74E24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C74E24" w:rsidRPr="001A2267" w:rsidRDefault="00C74E24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Подготовка на информация за целите на годишен областен доклад по БДП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от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общините (част 1 от общинския доклад), ОПУ, ОДМВР и ЦСМП и представянето й в секретариата ба ОКБДП </w:t>
            </w:r>
          </w:p>
        </w:tc>
        <w:tc>
          <w:tcPr>
            <w:tcW w:w="3261" w:type="dxa"/>
            <w:shd w:val="clear" w:color="auto" w:fill="FFFFFF"/>
          </w:tcPr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47752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бщини, ОПУ, ОДМВР </w:t>
            </w:r>
          </w:p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47752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ЦСМП 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15-ти януари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Подготовка на обобщен годишен областен доклад по БДП на ОКБДП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изпращането му в ДАБДП</w:t>
            </w:r>
          </w:p>
          <w:p w:rsid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  <w:p w:rsid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8.2 Изпращане в ДАБДП на попълнен въпросник за състоянието (част 2 от общинския доклад)</w:t>
            </w:r>
          </w:p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Секретариат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31-ви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януари </w:t>
            </w:r>
          </w:p>
          <w:p w:rsid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C74E24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31-ви януари</w:t>
            </w:r>
          </w:p>
          <w:p w:rsidR="00C74E24" w:rsidRPr="001A2267" w:rsidRDefault="00C74E24" w:rsidP="00C74E24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965F2E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9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Наблюдение и оценка на изпълнението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областната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74E24" w:rsidRP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74E24" w:rsidRPr="001A2267" w:rsidRDefault="00C74E24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1A2267">
            <w:pPr>
              <w:tabs>
                <w:tab w:val="left" w:pos="1992"/>
              </w:tabs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О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безпечаване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служители, отговорни за координацията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областната политика по БДП</w:t>
            </w:r>
          </w:p>
          <w:p w:rsidR="00C74E24" w:rsidRPr="001A2267" w:rsidRDefault="00C74E24" w:rsidP="001A2267">
            <w:pPr>
              <w:tabs>
                <w:tab w:val="left" w:pos="1992"/>
              </w:tabs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C74E24" w:rsidRPr="007B21C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C74E24" w:rsidRPr="001A2267" w:rsidRDefault="00C74E24" w:rsidP="00201B7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 О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DD3DF7">
            <w:pPr>
              <w:spacing w:before="80" w:after="8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Организиране и провеждане на извънкласни дейности и кампании по БДП за деца и ученици в системата</w:t>
            </w:r>
            <w:r w:rsidRPr="001A22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.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DD3DF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Организиране и провеждане на превантивни кампании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 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акцент върху превишената/несъобразена скорост, шофирането след употреба на алкохол, наркотични вещества и техните аналози, ползване на </w:t>
            </w:r>
            <w:proofErr w:type="spellStart"/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обезопасителни</w:t>
            </w:r>
            <w:proofErr w:type="spellEnd"/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колани и системи за обезопасяване на деца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техническата изправност на МПС, поведение на участниците в движението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др.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Провеждане на единна и целенасочена комуникационна и медийна политика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7B21C7" w:rsidRPr="001A2267" w:rsidRDefault="007B21C7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17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Отбелязване на дати, свързани с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7B21C7">
            <w:pPr>
              <w:spacing w:before="80" w:after="80" w:line="240" w:lineRule="auto"/>
              <w:ind w:right="37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18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7B21C7" w:rsidRPr="007B21C7" w:rsidRDefault="007B21C7" w:rsidP="007B21C7">
            <w:pPr>
              <w:spacing w:before="80" w:after="80" w:line="240" w:lineRule="auto"/>
              <w:ind w:right="37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Институции в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19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Анализ на травматизма по места и часови интервали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за целите на извършване на контролна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дейност в определени участъци</w:t>
            </w:r>
          </w:p>
          <w:p w:rsidR="007B21C7" w:rsidRPr="007B21C7" w:rsidRDefault="007B21C7" w:rsidP="007B21C7">
            <w:pPr>
              <w:spacing w:after="0" w:line="240" w:lineRule="auto"/>
              <w:rPr>
                <w:rFonts w:ascii="Verdana" w:hAnsi="Verdana" w:cs="Calibri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7B21C7">
        <w:trPr>
          <w:trHeight w:val="663"/>
        </w:trPr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20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Организиране и п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ровеждане на специализирани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полицейски 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операции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съгласно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анализ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а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на пътнотранспортната обстановка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DD3DF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Координация за с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ъвместни действия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 о</w:t>
            </w:r>
            <w:r w:rsidRPr="00F200B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бщини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те, </w:t>
            </w:r>
            <w:r w:rsidRPr="00F200B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F200B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ОДМВР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 подобряване безопасността на пътната инфраструктура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Поддържане и н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адграждане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документирана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база данни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за състоянието на пътната 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инфраструктура и безопасност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23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7B21C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азработване и прилагане на планове за устойчива градска мобилност с приоритет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DD3DF7">
            <w:pPr>
              <w:spacing w:before="80" w:after="80" w:line="240" w:lineRule="auto"/>
              <w:ind w:right="34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24.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Прилагане на процедури за управление на пътната безопасност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Изпълнение/актуализация на 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Г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енерални планове за организация на движението в населените места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F200BD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0B5B66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27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318EA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28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Извършване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текущи и годишни обходи и огледи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документирана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оценка на транспортно-експлоатационното състояние на пътната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инфраструктура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като база за подготовка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мерките за пътна безопасност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7318EA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7318EA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7318EA" w:rsidRDefault="00C74E24" w:rsidP="00DD3DF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29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Планиране и бюджетиране на мерки по пътна безопасност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(капиталови инвестиции и текущо поддържане)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 годишните бюджет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н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а АПИ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/ОПУ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общините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база оценката 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състояние на пътната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инфраструктура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, АПИ/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DD3DF7">
            <w:pPr>
              <w:tabs>
                <w:tab w:val="left" w:pos="816"/>
              </w:tabs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Pr="00DD3DF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Приоритетно обследване, обозначаване, обезопасяване и наблюдение на рискови участъци и участъци с концентрация на ПТП; обезпечаване с технически средства за контрол със съдействието на ОДМВР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DD3DF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  <w:r w:rsidR="007B21C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C74E24" w:rsidRPr="001A2267" w:rsidRDefault="00C74E24" w:rsidP="00DD3DF7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26541F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31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Актуализация на организацията на движение по пътища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FF0877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6919D1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Информиране на водачите за въведени ВОБД и други ограничения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34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Развитие на обществения транспорт и и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зграждане на оптимални връзки между различните видове транспорт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7B21C7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35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Подкрепа за алтернативни форми на придвижване (обществен транспорт, пешеходно и </w:t>
            </w:r>
            <w:proofErr w:type="spellStart"/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>вело</w:t>
            </w:r>
            <w:proofErr w:type="spellEnd"/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движение)</w:t>
            </w:r>
          </w:p>
          <w:p w:rsidR="007B21C7" w:rsidRPr="007B21C7" w:rsidRDefault="007B21C7" w:rsidP="007B21C7">
            <w:pPr>
              <w:spacing w:after="8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FF0877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36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Интегриране на 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>стандарт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>ите, свързани с БДП, в изискванията към договорите за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проектиране и 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строителство на пътна инфраструктура; прилагане на ефективен контрол при управление на договорите </w:t>
            </w:r>
          </w:p>
          <w:p w:rsidR="007B21C7" w:rsidRPr="007B21C7" w:rsidRDefault="007B21C7" w:rsidP="00FF0877">
            <w:pPr>
              <w:spacing w:after="8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7B21C7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37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Защита на уязвимите участници в движението – пешеходци и велосипедисти, чрез </w:t>
            </w:r>
            <w:r w:rsidRP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обезпечаване и обезопасяване на пешеходното и велосипедно движение</w:t>
            </w:r>
          </w:p>
          <w:p w:rsidR="00C74E24" w:rsidRPr="001A2267" w:rsidRDefault="00C74E24" w:rsidP="001A2267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6919D1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38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>. Спазване на правилата за престой и паркиране на автомобили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7B21C7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39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>. Въвеждане на системи за дистанционно регулиране на трафика с оглед достъп на спасителните екипи до мястото на настъпил инцидент</w:t>
            </w:r>
          </w:p>
          <w:p w:rsidR="007B21C7" w:rsidRPr="007B21C7" w:rsidRDefault="007B21C7" w:rsidP="007B21C7">
            <w:pPr>
              <w:spacing w:after="8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697D2A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40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Стимулиране употребата на безопасни и екологични автомобили </w:t>
            </w:r>
          </w:p>
          <w:p w:rsidR="007B21C7" w:rsidRPr="007B21C7" w:rsidRDefault="007B21C7" w:rsidP="00697D2A">
            <w:pPr>
              <w:spacing w:after="8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Общини </w:t>
            </w: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Default="00C74E24" w:rsidP="006919D1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41</w:t>
            </w:r>
            <w:r w:rsidRPr="001A2267">
              <w:rPr>
                <w:rFonts w:ascii="Verdana" w:hAnsi="Verdana"/>
                <w:color w:val="404040"/>
                <w:sz w:val="20"/>
                <w:lang w:val="bg-BG"/>
              </w:rPr>
              <w:t>.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  <w:p w:rsidR="007B21C7" w:rsidRPr="007B21C7" w:rsidRDefault="007B21C7" w:rsidP="006919D1">
            <w:pPr>
              <w:spacing w:after="8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C74E24" w:rsidRPr="001A2267" w:rsidTr="00C74E24">
        <w:tc>
          <w:tcPr>
            <w:tcW w:w="10206" w:type="dxa"/>
            <w:shd w:val="clear" w:color="auto" w:fill="FFFFFF"/>
          </w:tcPr>
          <w:p w:rsidR="00C74E24" w:rsidRPr="001A2267" w:rsidRDefault="00C74E24" w:rsidP="00083356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42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Провеждане</w:t>
            </w:r>
            <w:proofErr w:type="spellEnd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съвместни</w:t>
            </w:r>
            <w:proofErr w:type="spellEnd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учения за реакция при </w:t>
            </w:r>
            <w:proofErr w:type="spellStart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настъпило</w:t>
            </w:r>
            <w:proofErr w:type="spellEnd"/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ПТП </w:t>
            </w:r>
          </w:p>
        </w:tc>
        <w:tc>
          <w:tcPr>
            <w:tcW w:w="3261" w:type="dxa"/>
            <w:shd w:val="clear" w:color="auto" w:fill="FFFFFF"/>
          </w:tcPr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C74E24" w:rsidRPr="001A2267" w:rsidRDefault="00C74E24" w:rsidP="001A226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Общини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C74E24" w:rsidRDefault="00C74E24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РДПБЗН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ЦСМП</w:t>
            </w:r>
            <w:r w:rsidR="007B21C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7B21C7" w:rsidRPr="001A2267" w:rsidRDefault="007B21C7" w:rsidP="007B21C7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714482" w:rsidRDefault="00714482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p w:rsidR="007B21C7" w:rsidRDefault="007B21C7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4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8"/>
      </w:tblGrid>
      <w:tr w:rsidR="00714482" w:rsidRPr="00714482" w:rsidTr="00714482">
        <w:tc>
          <w:tcPr>
            <w:tcW w:w="14488" w:type="dxa"/>
            <w:shd w:val="clear" w:color="auto" w:fill="7030A0"/>
          </w:tcPr>
          <w:p w:rsidR="00714482" w:rsidRPr="00714482" w:rsidRDefault="00714482" w:rsidP="0071448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714482" w:rsidRPr="00714482" w:rsidRDefault="0026541F" w:rsidP="0071448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4</w:t>
            </w:r>
            <w:r w:rsidR="00714482" w:rsidRPr="00714482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3. КОНКРЕТНИ МЕРКИ ЗА ПОДОБРЯВАНЕ НА ПЪТНАТА БЕЗОПАСНОСТ ПО </w:t>
            </w:r>
            <w:r w:rsidR="00714482" w:rsidRPr="00714482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bg-BG"/>
              </w:rPr>
              <w:t>РЕПУБЛИКАНСКАТА ПЪТНА МРЕЖА</w:t>
            </w:r>
            <w:r w:rsidR="00714482" w:rsidRPr="00714482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714482" w:rsidRPr="00714482" w:rsidRDefault="00714482" w:rsidP="0071448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</w:tbl>
    <w:p w:rsidR="00714482" w:rsidRDefault="00714482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p w:rsidR="00AB7CFD" w:rsidRDefault="00AB7CFD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/моля,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поставете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таблицата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, получена в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информацията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от ОПУ/</w:t>
      </w:r>
    </w:p>
    <w:p w:rsidR="004467FF" w:rsidRDefault="004467FF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4819"/>
      </w:tblGrid>
      <w:tr w:rsidR="004467FF" w:rsidRPr="004467FF" w:rsidTr="00FC03EB">
        <w:tc>
          <w:tcPr>
            <w:tcW w:w="13608" w:type="dxa"/>
            <w:gridSpan w:val="3"/>
            <w:shd w:val="clear" w:color="auto" w:fill="7030A0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КОНКРЕТНИ МЕРКИ ЗА ПОДОБРЯВАНЕ НА ПЪТНАТА БЕЗОПАСНОСТ ПО </w:t>
            </w:r>
            <w:r w:rsidRPr="004467FF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bg-BG"/>
              </w:rPr>
              <w:t>РЕПУБЛИКАНСКАТА ПЪТНА МРЕЖА</w:t>
            </w:r>
            <w:r w:rsidRPr="004467FF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4467FF" w:rsidRPr="004467FF" w:rsidTr="00FC03EB">
        <w:tc>
          <w:tcPr>
            <w:tcW w:w="1843" w:type="dxa"/>
            <w:shd w:val="clear" w:color="auto" w:fill="FFFF00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1765" w:type="dxa"/>
            <w:gridSpan w:val="2"/>
            <w:shd w:val="clear" w:color="auto" w:fill="FFFFFF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1/ Обект: Технологичен проект за ремонт на път III-603 „Радомир - Копаница - Косача - Ковачевци - Чепино - (Габров дол - Мурено)“ от км 0+000 до км 8+300;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2/ Обект: Технологичен проект за ремонт на път III-638 „(Мещица - Брезник) - Бабица - Златуша - Росоман - Пожарево - Гурмазово – Божурище“ от км 0+000 до км 8+860.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3/ Обект: Основен ремонт на съоръжение на път I-6 „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. Кюстендил  - Радомир - Перник -  ок. п. София“ при км 83+200;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4/ Обект: Основен ремонт на съоръжение на II-63 „Перник - Мещица - Брезник - Трън – Стрезимировци“ при км 56+174;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5/ Обект: Основен ремонт на път II-63 „Перник - Мещица - Брезник - Трън – Стрезимировци от км 0+000 до км 65+778;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4467FF" w:rsidRPr="004467FF" w:rsidTr="00FC03EB">
        <w:trPr>
          <w:trHeight w:val="2821"/>
        </w:trPr>
        <w:tc>
          <w:tcPr>
            <w:tcW w:w="1843" w:type="dxa"/>
            <w:shd w:val="clear" w:color="auto" w:fill="FFFF00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Строителство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shd w:val="clear" w:color="auto" w:fill="FFFFFF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1/ Обект: Текущ ремонт на I-1 “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ок.п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. София - Даскалово - 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. Дупница - 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. Благоевград от км 282+485 до км 286+865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Дейности: Довършване на текущ ремонт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2/ Обект: III-623 „(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О.п.Кюстендил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 - 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. Дупница) - Мламолово - Бобов дол - Жедна - Извор - Лобош - Земен - Враня стена – Габрешевци“ от км 31+600 до км 40+000;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Дейности: Довършване на текущ ремонт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3/ Обект: III-623 „(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О.п.Кюстендил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 - 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о.п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. Дупница) - Мламолово - Бобов дол - Жедна - Извор - Лобош - Земен - Враня стена – Габрешевци“ от км 40+000 до км 48+400 -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Дейности: Полагане на хоризонтална маркировка и монтаж на вертикална сигнализация;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3/ Обект: III-8114 „Брезник - Бегуновци - Кошарево - Станьовци - Долна Секирна -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Горна Секирна - </w:t>
            </w:r>
            <w:proofErr w:type="spellStart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Горчовци</w:t>
            </w:r>
            <w:proofErr w:type="spellEnd"/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 (Стайчовци - Палилула)“ от км 13+850 до км 26+300;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Дейности: Довършване на текущ ремонт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4/ Обект: Изграждане на шумозащитни съоръжения на АМ „Струма“ от км 19+561 до км 22+144;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 xml:space="preserve">Дейности: Изграждане на шумозащитни съоръжения. Подготвя се обществена поръчка за строителство. 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819" w:type="dxa"/>
            <w:shd w:val="clear" w:color="auto" w:fill="FFFFFF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1/ Прогнозна стойност: ……………………………….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2/ Прогнозна стойност: ……………………………….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3/ Прогнозна стойност: ……………………………….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467FF" w:rsidRPr="004467FF" w:rsidTr="00FC03EB">
        <w:trPr>
          <w:trHeight w:val="831"/>
        </w:trPr>
        <w:tc>
          <w:tcPr>
            <w:tcW w:w="1843" w:type="dxa"/>
            <w:shd w:val="clear" w:color="auto" w:fill="FFFF00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Други мерки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shd w:val="clear" w:color="auto" w:fill="FFFFFF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Дейности по програма Текущ ремонт и поддържане (изкърпване на асфалтови настилки, подобряване на отводняването и др.)</w:t>
            </w:r>
          </w:p>
        </w:tc>
        <w:tc>
          <w:tcPr>
            <w:tcW w:w="4819" w:type="dxa"/>
            <w:shd w:val="clear" w:color="auto" w:fill="FFFFFF"/>
          </w:tcPr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4467FF">
              <w:rPr>
                <w:rFonts w:ascii="Verdana" w:hAnsi="Verdana"/>
                <w:sz w:val="20"/>
                <w:szCs w:val="20"/>
                <w:lang w:val="bg-BG"/>
              </w:rPr>
              <w:t>Прогнозна стойност: ……………………………….</w:t>
            </w:r>
          </w:p>
          <w:p w:rsidR="004467FF" w:rsidRPr="004467FF" w:rsidRDefault="004467FF" w:rsidP="004467F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7B21C7" w:rsidRDefault="007B21C7" w:rsidP="00714482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4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8"/>
      </w:tblGrid>
      <w:tr w:rsidR="00714482" w:rsidRPr="001A2267" w:rsidTr="00161C1A">
        <w:tc>
          <w:tcPr>
            <w:tcW w:w="14488" w:type="dxa"/>
            <w:shd w:val="clear" w:color="auto" w:fill="7030A0"/>
          </w:tcPr>
          <w:p w:rsidR="00714482" w:rsidRDefault="00714482" w:rsidP="0071448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714482" w:rsidRPr="00714482" w:rsidRDefault="0026541F" w:rsidP="0071448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4</w:t>
            </w:r>
            <w:r w:rsidR="00714482" w:rsidRPr="00714482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4. КОНКРЕТНИ МЕРКИ ЗА ПОДОБРЯВАНЕ НА ПЪТНАТА БЕЗОПАСНОСТ ПО </w:t>
            </w:r>
            <w:r w:rsidR="00714482" w:rsidRPr="00714482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bg-BG"/>
              </w:rPr>
              <w:t>ОБЩИНСКА ПЪТНА И УЛИЧНА МРЕЖА:</w:t>
            </w:r>
          </w:p>
          <w:p w:rsidR="00714482" w:rsidRDefault="00714482" w:rsidP="0071448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714482" w:rsidRPr="001A2267" w:rsidRDefault="00714482" w:rsidP="00714482">
      <w:pPr>
        <w:shd w:val="clear" w:color="auto" w:fill="FFFFFF"/>
        <w:spacing w:after="0" w:line="240" w:lineRule="auto"/>
        <w:ind w:right="142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AB7CFD" w:rsidRDefault="00AB7CFD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/моля,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поставете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една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под друга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таблиците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получени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в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информацията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от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всички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общини</w:t>
      </w:r>
      <w:proofErr w:type="spellEnd"/>
      <w:r>
        <w:rPr>
          <w:rFonts w:ascii="Verdana" w:hAnsi="Verdana" w:cs="Calibri"/>
          <w:i/>
          <w:color w:val="404040"/>
          <w:sz w:val="20"/>
          <w:szCs w:val="20"/>
          <w:lang w:val="ru-RU"/>
        </w:rPr>
        <w:t>/</w:t>
      </w:r>
    </w:p>
    <w:p w:rsidR="00AB7CFD" w:rsidRDefault="00AB7CFD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p w:rsidR="00AB7CFD" w:rsidRPr="00AB7CFD" w:rsidRDefault="00326B38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color w:val="404040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t xml:space="preserve">        </w:t>
      </w:r>
      <w:r w:rsidR="00AB7CFD" w:rsidRPr="00AB7CFD">
        <w:rPr>
          <w:rFonts w:ascii="Verdana" w:hAnsi="Verdana" w:cs="Calibri"/>
          <w:b/>
          <w:color w:val="404040"/>
          <w:sz w:val="20"/>
          <w:szCs w:val="20"/>
          <w:lang w:val="ru-RU"/>
        </w:rPr>
        <w:t>ОБЩИНА:</w:t>
      </w:r>
      <w:r>
        <w:rPr>
          <w:rFonts w:ascii="Verdana" w:hAnsi="Verdana" w:cs="Calibri"/>
          <w:color w:val="404040"/>
          <w:sz w:val="20"/>
          <w:szCs w:val="20"/>
          <w:lang w:val="ru-RU"/>
        </w:rPr>
        <w:t xml:space="preserve"> ПЕРНИК</w:t>
      </w:r>
    </w:p>
    <w:p w:rsidR="00AB7CFD" w:rsidRDefault="00AB7CFD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326B38" w:rsidRPr="006073E9" w:rsidTr="00806E68">
        <w:trPr>
          <w:trHeight w:val="1982"/>
        </w:trPr>
        <w:tc>
          <w:tcPr>
            <w:tcW w:w="3657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ул.»Отец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Паисий»</w:t>
            </w: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0,350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407 880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6073E9" w:rsidTr="00806E68">
        <w:trPr>
          <w:trHeight w:val="2234"/>
        </w:trPr>
        <w:tc>
          <w:tcPr>
            <w:tcW w:w="3657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Г.С.Раковски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0,170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550 000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6073E9" w:rsidTr="00806E68">
        <w:trPr>
          <w:trHeight w:val="1979"/>
        </w:trPr>
        <w:tc>
          <w:tcPr>
            <w:tcW w:w="3657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FD1FD3" w:rsidP="00FD1F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ул.»Петко</w:t>
            </w:r>
            <w:proofErr w:type="spellEnd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Каравелов</w:t>
            </w:r>
            <w:proofErr w:type="spellEnd"/>
            <w:r w:rsidR="00326B3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0,350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700 000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6073E9" w:rsidTr="00806E68">
        <w:trPr>
          <w:trHeight w:val="1726"/>
        </w:trPr>
        <w:tc>
          <w:tcPr>
            <w:tcW w:w="3657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Гагарин»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ул.»Карл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Маркс» до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ул.»Лом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0,600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108 582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6073E9" w:rsidTr="00806E68">
        <w:trPr>
          <w:trHeight w:val="1741"/>
        </w:trPr>
        <w:tc>
          <w:tcPr>
            <w:tcW w:w="3657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Кракра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0,900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928 980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326B38" w:rsidRPr="006073E9" w:rsidTr="00806E68">
        <w:trPr>
          <w:trHeight w:val="1248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гр.Батановци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селата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310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25 000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326B38" w:rsidRPr="006073E9" w:rsidTr="00FC03EB">
        <w:trPr>
          <w:trHeight w:val="180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гр.Батановци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селата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26B38" w:rsidRPr="006073E9" w:rsidRDefault="00326B38" w:rsidP="00FD1FD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 км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полагане</w:t>
            </w:r>
            <w:proofErr w:type="spellEnd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нова маркировка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20 км.</w:t>
            </w:r>
          </w:p>
          <w:p w:rsidR="00326B38" w:rsidRPr="006073E9" w:rsidRDefault="00326B38" w:rsidP="00FD1FD3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250 000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гр.Батановци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селата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::</w:t>
            </w:r>
            <w:proofErr w:type="gram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...................... км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нови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0,250 км.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дължината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какъв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вид действие се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отнася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30 000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6073E9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326B38" w:rsidRPr="006073E9" w:rsidTr="00806E68">
        <w:trPr>
          <w:trHeight w:val="1818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D6622C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–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Благой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Гебрев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.“Димитър Благоев“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5 км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(настилки, сигнализация, др.)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подновяване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маркировката</w:t>
            </w:r>
            <w:proofErr w:type="spellEnd"/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50 000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26B38" w:rsidRPr="006073E9" w:rsidTr="00FC03EB">
        <w:trPr>
          <w:trHeight w:val="1984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D6622C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–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Благой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Гебрев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.“Димитър Благоев“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5 км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(настилки, сигнализация, др.)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Изтогвяне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идеен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инвестиционен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проект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28 000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26B38" w:rsidRPr="00A0721B" w:rsidTr="00806E68">
        <w:trPr>
          <w:trHeight w:val="393"/>
        </w:trPr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326B38" w:rsidRPr="006073E9" w:rsidTr="00FC03EB">
        <w:trPr>
          <w:trHeight w:val="2077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спирки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15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Проектиране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изработка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спиркови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навеси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 сервитута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спирките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градския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транспорт 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уширение/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джоб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оградни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съоръжения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преградни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буферни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тела,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осветяване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сигнализация и др.)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300 000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26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пътеки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изнесен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тротоар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1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ул.»Отец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Паисий»;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Осветяване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20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ограничители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преди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– 5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обезопасителни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друга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инфраструктура ...................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(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подлези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надлези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алеи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др.)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3D2D4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25 000 </w:t>
            </w:r>
            <w:proofErr w:type="spellStart"/>
            <w:r w:rsidRPr="003D2D4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3D2D4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26B38" w:rsidRPr="00A0721B" w:rsidTr="00806E68"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кв.»Иван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Пашов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успокояване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движението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кръгово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1 067 000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ул.»Юрий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Гагарин»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ул.»Карл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Маркс»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успокояване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движението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кръгово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- ВОД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10 000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A0721B" w:rsidTr="00806E68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326B38" w:rsidRPr="006073E9" w:rsidTr="00806E68">
        <w:trPr>
          <w:trHeight w:val="411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гр.Перник,Индустриална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зона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улица към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Индустриална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зона Перник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връзка с път І-6 км.82+790</w:t>
            </w: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2 253 240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26B38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326B38" w:rsidRPr="006073E9" w:rsidTr="00FC03EB">
        <w:trPr>
          <w:trHeight w:val="1444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гр.Перник,Индустриална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зона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улица към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Индустриална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зона Перник 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връзка с път І-6 км.82+790</w:t>
            </w: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Влиза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стойността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т.10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Видове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закупуване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5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нови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електробуси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6 250 000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26B38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326B38" w:rsidRPr="006073E9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Гр.Перник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26B38" w:rsidRPr="008D27A6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Утвърждаване</w:t>
            </w:r>
            <w:proofErr w:type="spellEnd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Генерален</w:t>
            </w:r>
            <w:proofErr w:type="spellEnd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план за организация на </w:t>
            </w:r>
            <w:proofErr w:type="spellStart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движението</w:t>
            </w:r>
            <w:proofErr w:type="spellEnd"/>
            <w:r w:rsidRPr="008D27A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Община Перник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26B38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52 680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26B38" w:rsidRPr="006073E9" w:rsidRDefault="00326B3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326B38" w:rsidRPr="00CB292E" w:rsidRDefault="00326B38" w:rsidP="00326B38">
      <w:pPr>
        <w:rPr>
          <w:sz w:val="8"/>
          <w:szCs w:val="8"/>
          <w:lang w:val="bg-BG"/>
        </w:rPr>
      </w:pPr>
    </w:p>
    <w:p w:rsidR="004751EE" w:rsidRDefault="004751EE" w:rsidP="004751EE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t xml:space="preserve">       </w:t>
      </w:r>
      <w:r w:rsidRPr="00AB7CFD">
        <w:rPr>
          <w:rFonts w:ascii="Verdana" w:hAnsi="Verdana" w:cs="Calibri"/>
          <w:b/>
          <w:color w:val="404040"/>
          <w:sz w:val="20"/>
          <w:szCs w:val="20"/>
          <w:lang w:val="ru-RU"/>
        </w:rPr>
        <w:t>ОБЩИНА:</w:t>
      </w:r>
      <w:r>
        <w:rPr>
          <w:rFonts w:ascii="Verdana" w:hAnsi="Verdana" w:cs="Calibri"/>
          <w:color w:val="404040"/>
          <w:sz w:val="20"/>
          <w:szCs w:val="20"/>
          <w:lang w:val="ru-RU"/>
        </w:rPr>
        <w:t xml:space="preserve"> РАДОМИР</w:t>
      </w:r>
    </w:p>
    <w:p w:rsidR="004751EE" w:rsidRDefault="004751EE" w:rsidP="004751EE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4751EE" w:rsidRPr="006073E9" w:rsidTr="00FC03EB">
        <w:trPr>
          <w:trHeight w:val="2234"/>
        </w:trPr>
        <w:tc>
          <w:tcPr>
            <w:tcW w:w="3657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 гр.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Радомир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5/пет / села от община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Радомир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с.Прибой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с. 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Дебели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лаг, 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с.Поцърненци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с. 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Дрен,ул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11-та ,с. 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Долни</w:t>
            </w:r>
            <w:proofErr w:type="spellEnd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13DE0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Раковец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възлагане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изпълнение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мероприятията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всяка улица 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взимано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индивидуално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решение като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водещо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това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Отстраняване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проблемни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попадащи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    2.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 при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образувани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големи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нарушения /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дупки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/   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Възстановяване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нарушена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настилка.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Към момента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 доклада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няма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предвиден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ремонт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11500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кв.м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около – 11,5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</w:tc>
        <w:tc>
          <w:tcPr>
            <w:tcW w:w="1730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588000лв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4751EE" w:rsidRPr="006073E9" w:rsidTr="00FC03EB">
        <w:trPr>
          <w:trHeight w:val="411"/>
        </w:trPr>
        <w:tc>
          <w:tcPr>
            <w:tcW w:w="3657" w:type="dxa"/>
            <w:shd w:val="clear" w:color="auto" w:fill="auto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ул.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Дупнишка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за с.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Стефаново</w:t>
            </w:r>
            <w:proofErr w:type="spellEnd"/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до с.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Кондофрей</w:t>
            </w:r>
            <w:proofErr w:type="spellEnd"/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7136E1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- 6 за с. Поцърненци до Клисурска махала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Възстановяване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осова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маркировъчна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линия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9,2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Възстановяване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осова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маркировъчна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линия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3,7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:rsidR="004751EE" w:rsidRDefault="004751EE" w:rsidP="00FC03EB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20 000лв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8000лв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4751EE" w:rsidRPr="006073E9" w:rsidTr="00FC03EB">
        <w:trPr>
          <w:trHeight w:val="749"/>
        </w:trPr>
        <w:tc>
          <w:tcPr>
            <w:tcW w:w="3657" w:type="dxa"/>
            <w:shd w:val="clear" w:color="auto" w:fill="auto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 гр.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Радомир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ул. Райко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Даскалов</w:t>
            </w:r>
            <w:proofErr w:type="spellEnd"/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мантинела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между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двете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платна, с цел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неправилното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пресичане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пешеходците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натоварения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 Перник –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Кюстендил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Желанието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ни е по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улица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 града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да бъде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такава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мантинела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бюджетната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2023г. се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предвижда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двойна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мантинела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0,5км.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::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0,500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монтиране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нови ...................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дължината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какъв</w:t>
            </w:r>
            <w:proofErr w:type="spellEnd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вид действие се </w:t>
            </w:r>
            <w:proofErr w:type="spellStart"/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отнася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350000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4751EE" w:rsidRPr="006073E9" w:rsidTr="00FC03EB"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4751EE" w:rsidRPr="006073E9" w:rsidTr="00FC03EB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4751EE" w:rsidRPr="006073E9" w:rsidTr="00FC03EB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4751EE" w:rsidRPr="006073E9" w:rsidTr="00FC03EB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4751EE" w:rsidRPr="006073E9" w:rsidTr="00FC03EB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временни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чл.190 от ЗУТ</w:t>
            </w:r>
          </w:p>
        </w:tc>
      </w:tr>
      <w:tr w:rsidR="004751EE" w:rsidRPr="006073E9" w:rsidTr="00FC03EB">
        <w:trPr>
          <w:trHeight w:val="749"/>
        </w:trPr>
        <w:tc>
          <w:tcPr>
            <w:tcW w:w="3657" w:type="dxa"/>
            <w:shd w:val="clear" w:color="auto" w:fill="auto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Изпълнява се в Община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Радомир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терена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разтителност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подравняване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насипване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едра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скална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маса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фракция 63/120 и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подравняване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с фракция</w:t>
            </w:r>
            <w:proofErr w:type="gram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0/63.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Всички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пластове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валират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/</w:t>
            </w:r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15,500</w:t>
            </w:r>
            <w:proofErr w:type="gram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</w:t>
            </w:r>
          </w:p>
          <w:p w:rsidR="004751EE" w:rsidRDefault="004751EE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4751EE" w:rsidRPr="006073E9" w:rsidRDefault="004751EE" w:rsidP="00FC03EB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315000лв</w:t>
            </w:r>
          </w:p>
        </w:tc>
      </w:tr>
    </w:tbl>
    <w:p w:rsidR="00FC03EB" w:rsidRDefault="006A3F3A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b/>
          <w:color w:val="404040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t xml:space="preserve"> </w:t>
      </w:r>
      <w:r w:rsidR="00664499">
        <w:rPr>
          <w:rFonts w:ascii="Verdana" w:hAnsi="Verdana" w:cs="Calibri"/>
          <w:b/>
          <w:color w:val="404040"/>
          <w:sz w:val="20"/>
          <w:szCs w:val="20"/>
          <w:lang w:val="ru-RU"/>
        </w:rPr>
        <w:t xml:space="preserve">      </w:t>
      </w:r>
    </w:p>
    <w:p w:rsidR="00FC03EB" w:rsidRDefault="00FC03EB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FC03EB" w:rsidRDefault="00FC03EB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664499" w:rsidRDefault="00FC03EB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lastRenderedPageBreak/>
        <w:t xml:space="preserve">       </w:t>
      </w:r>
      <w:r w:rsidR="00664499" w:rsidRPr="00AB7CFD">
        <w:rPr>
          <w:rFonts w:ascii="Verdana" w:hAnsi="Verdana" w:cs="Calibri"/>
          <w:b/>
          <w:color w:val="404040"/>
          <w:sz w:val="20"/>
          <w:szCs w:val="20"/>
          <w:lang w:val="ru-RU"/>
        </w:rPr>
        <w:t>ОБЩИНА:</w:t>
      </w:r>
      <w:r w:rsidR="00664499">
        <w:rPr>
          <w:rFonts w:ascii="Verdana" w:hAnsi="Verdana" w:cs="Calibri"/>
          <w:color w:val="404040"/>
          <w:sz w:val="20"/>
          <w:szCs w:val="20"/>
          <w:lang w:val="ru-RU"/>
        </w:rPr>
        <w:t xml:space="preserve"> БРЕЗНИК</w:t>
      </w:r>
    </w:p>
    <w:p w:rsidR="00664499" w:rsidRDefault="00664499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664499" w:rsidRPr="006073E9" w:rsidTr="00806E68">
        <w:trPr>
          <w:trHeight w:val="2234"/>
        </w:trPr>
        <w:tc>
          <w:tcPr>
            <w:tcW w:w="3657" w:type="dxa"/>
            <w:shd w:val="clear" w:color="auto" w:fill="auto"/>
          </w:tcPr>
          <w:p w:rsidR="0066449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bookmarkStart w:id="0" w:name="_GoBack" w:colFirst="2" w:colLast="2"/>
          </w:p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66449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664499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Брезник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-реконструкция на: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    - ул.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Разцвет</w:t>
            </w:r>
            <w:proofErr w:type="spellEnd"/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Нов Живот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Чайка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         - ул. Борис Антов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с. Ноевци-реконструкция на улица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664499" w:rsidRPr="006C7C9F" w:rsidRDefault="00664499" w:rsidP="0066449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Общинска пътна мрежа</w:t>
            </w:r>
          </w:p>
          <w:p w:rsidR="00664499" w:rsidRPr="006C7C9F" w:rsidRDefault="00664499" w:rsidP="00806E68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PER- 2019-//III-811, Брезник -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п.к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 Велковци/ - Слаковци</w:t>
            </w:r>
          </w:p>
          <w:p w:rsidR="00664499" w:rsidRPr="006C7C9F" w:rsidRDefault="00664499" w:rsidP="00806E68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PER-2004-/III 605 Ноевци - Габров дол/ Гигинци – Кошарево - /III 8114/</w:t>
            </w:r>
          </w:p>
          <w:p w:rsidR="00664499" w:rsidRPr="006C7C9F" w:rsidRDefault="00664499" w:rsidP="00806E68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- 2003 /III-8114/ Бегуновци - Непразненци /III-605/</w:t>
            </w:r>
          </w:p>
          <w:p w:rsidR="00664499" w:rsidRPr="006C7C9F" w:rsidRDefault="00664499" w:rsidP="00806E68">
            <w:pPr>
              <w:spacing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2011 /PER2006/ Режанци - Конска - Гърло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C7C9F">
              <w:rPr>
                <w:rFonts w:ascii="MS Gothic" w:eastAsia="MS Gothic" w:hAnsi="MS Gothic" w:cs="MS Gothic" w:hint="eastAsia"/>
                <w:color w:val="404040"/>
                <w:sz w:val="20"/>
                <w:szCs w:val="20"/>
                <w:lang w:val="bg-BG"/>
              </w:rPr>
              <w:t>✓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PER - /ІІІ - 8114, Брезник - Бегуновци/ - Режанци -Ребро - Гр. община (Брезник -Трън) - Лялинци /ІІ - 63/ - Трън) - Лялинци /ІІ - 63/</w:t>
            </w:r>
          </w:p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66449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Основен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ремонт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части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от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уличната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мрежа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–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пътни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платна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тротоари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и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бордюри</w:t>
            </w:r>
            <w:proofErr w:type="spellEnd"/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............................. км 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–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Изкърпване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единични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дупки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и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деформации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на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пътната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</w:rPr>
              <w:t>настилка</w:t>
            </w:r>
            <w:proofErr w:type="spellEnd"/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64499" w:rsidRPr="006C7C9F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C7C9F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 км</w:t>
            </w:r>
          </w:p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664499" w:rsidRPr="00CF32CD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16"/>
                <w:szCs w:val="16"/>
                <w:lang w:val="ru-RU"/>
              </w:rPr>
            </w:pPr>
          </w:p>
          <w:p w:rsidR="00664499" w:rsidRPr="00CF32CD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  <w:proofErr w:type="spellStart"/>
            <w:r w:rsidRPr="00CF32CD">
              <w:rPr>
                <w:rFonts w:ascii="Verdana" w:hAnsi="Verdana" w:cs="Calibri"/>
                <w:b/>
                <w:color w:val="404040"/>
                <w:sz w:val="16"/>
                <w:szCs w:val="16"/>
                <w:lang w:val="ru-RU"/>
              </w:rPr>
              <w:t>Прогнозна</w:t>
            </w:r>
            <w:proofErr w:type="spellEnd"/>
            <w:r w:rsidRPr="00CF32CD">
              <w:rPr>
                <w:rFonts w:ascii="Verdana" w:hAnsi="Verdana" w:cs="Calibri"/>
                <w:b/>
                <w:color w:val="40404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F32CD">
              <w:rPr>
                <w:rFonts w:ascii="Verdana" w:hAnsi="Verdana" w:cs="Calibri"/>
                <w:b/>
                <w:color w:val="404040"/>
                <w:sz w:val="16"/>
                <w:szCs w:val="16"/>
                <w:lang w:val="ru-RU"/>
              </w:rPr>
              <w:t>стойност</w:t>
            </w:r>
            <w:proofErr w:type="spellEnd"/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  <w:t xml:space="preserve">: </w:t>
            </w:r>
          </w:p>
          <w:p w:rsidR="00CF32CD" w:rsidRPr="00CF32CD" w:rsidRDefault="00CF32CD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</w:p>
          <w:p w:rsidR="00CF32CD" w:rsidRPr="00CF32CD" w:rsidRDefault="00CF32CD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</w:p>
          <w:p w:rsidR="00CF32CD" w:rsidRPr="00CF32CD" w:rsidRDefault="00CF32CD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</w:p>
          <w:p w:rsidR="00CF32CD" w:rsidRPr="00CF32CD" w:rsidRDefault="00CF32CD" w:rsidP="00CF32CD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</w:rPr>
              <w:t xml:space="preserve">96000 </w:t>
            </w: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лв. с ДДС</w:t>
            </w:r>
          </w:p>
          <w:p w:rsidR="00CF32CD" w:rsidRPr="00CF32CD" w:rsidRDefault="00CF32CD" w:rsidP="00CF32CD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57000 лв. с ДДС</w:t>
            </w:r>
          </w:p>
          <w:p w:rsidR="00CF32CD" w:rsidRPr="00CF32CD" w:rsidRDefault="00CF32CD" w:rsidP="00CF32CD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64000 лв. с ДДС</w:t>
            </w:r>
          </w:p>
          <w:p w:rsidR="00CF32CD" w:rsidRPr="00CF32CD" w:rsidRDefault="00CF32CD" w:rsidP="00CF32CD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20000 лв. с ДДС</w:t>
            </w:r>
          </w:p>
          <w:p w:rsidR="00CF32CD" w:rsidRPr="00CF32CD" w:rsidRDefault="00CF32CD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</w:p>
          <w:p w:rsidR="00CF32CD" w:rsidRPr="00CF32CD" w:rsidRDefault="00CF32CD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ru-RU"/>
              </w:rPr>
            </w:pPr>
          </w:p>
          <w:p w:rsidR="00CF32CD" w:rsidRPr="00CF32CD" w:rsidRDefault="00CF32CD" w:rsidP="00CF32CD">
            <w:pPr>
              <w:rPr>
                <w:rFonts w:ascii="Verdana" w:hAnsi="Verdana" w:cs="Calibri"/>
                <w:sz w:val="16"/>
                <w:szCs w:val="16"/>
                <w:lang w:val="ru-RU"/>
              </w:rPr>
            </w:pPr>
          </w:p>
          <w:p w:rsidR="00CF32CD" w:rsidRPr="00CF32CD" w:rsidRDefault="00CF32CD" w:rsidP="00CF32CD">
            <w:pPr>
              <w:spacing w:after="0" w:line="240" w:lineRule="auto"/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50000 лв. с ДДС</w:t>
            </w:r>
          </w:p>
          <w:p w:rsidR="00CF32CD" w:rsidRPr="00CF32CD" w:rsidRDefault="00CF32CD" w:rsidP="00CF32CD">
            <w:pPr>
              <w:rPr>
                <w:rFonts w:ascii="Verdana" w:hAnsi="Verdana" w:cs="Calibri"/>
                <w:sz w:val="16"/>
                <w:szCs w:val="16"/>
                <w:lang w:val="ru-RU"/>
              </w:rPr>
            </w:pPr>
          </w:p>
          <w:p w:rsidR="00664499" w:rsidRPr="00CF32CD" w:rsidRDefault="00664499" w:rsidP="00CF32CD">
            <w:pPr>
              <w:rPr>
                <w:rFonts w:ascii="Verdana" w:hAnsi="Verdana" w:cs="Calibri"/>
                <w:sz w:val="16"/>
                <w:szCs w:val="16"/>
                <w:lang w:val="ru-RU"/>
              </w:rPr>
            </w:pPr>
          </w:p>
          <w:p w:rsidR="00CF32CD" w:rsidRPr="00CF32CD" w:rsidRDefault="00CF32CD" w:rsidP="00CF32CD">
            <w:pPr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CF32CD">
              <w:rPr>
                <w:rFonts w:ascii="Verdana" w:hAnsi="Verdana" w:cs="Calibri"/>
                <w:color w:val="404040"/>
                <w:sz w:val="16"/>
                <w:szCs w:val="16"/>
                <w:lang w:val="bg-BG"/>
              </w:rPr>
              <w:t>200000 лв. с ДДС</w:t>
            </w:r>
          </w:p>
        </w:tc>
      </w:tr>
      <w:bookmarkEnd w:id="0"/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664499" w:rsidRPr="006073E9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664499" w:rsidRPr="00A0721B" w:rsidTr="00806E68"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664499" w:rsidRPr="00A0721B" w:rsidTr="00806E68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664499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664499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664499" w:rsidRPr="00A0721B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664499" w:rsidRPr="006073E9" w:rsidRDefault="00664499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664499" w:rsidRDefault="00664499" w:rsidP="00664499">
      <w:pPr>
        <w:rPr>
          <w:sz w:val="8"/>
          <w:szCs w:val="8"/>
          <w:lang w:val="bg-BG"/>
        </w:rPr>
      </w:pPr>
    </w:p>
    <w:p w:rsidR="003C707A" w:rsidRDefault="003C707A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p w:rsidR="003C707A" w:rsidRPr="003C707A" w:rsidRDefault="003C707A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b/>
          <w:i/>
          <w:color w:val="404040"/>
          <w:sz w:val="20"/>
          <w:szCs w:val="20"/>
          <w:lang w:val="ru-RU"/>
        </w:rPr>
      </w:pPr>
      <w:r>
        <w:rPr>
          <w:rFonts w:ascii="Verdana" w:hAnsi="Verdana" w:cs="Calibri"/>
          <w:i/>
          <w:color w:val="404040"/>
          <w:sz w:val="20"/>
          <w:szCs w:val="20"/>
          <w:lang w:val="ru-RU"/>
        </w:rPr>
        <w:t xml:space="preserve">        </w:t>
      </w:r>
      <w:r w:rsidRPr="003C707A">
        <w:rPr>
          <w:rFonts w:ascii="Verdana" w:hAnsi="Verdana" w:cs="Calibri"/>
          <w:b/>
          <w:color w:val="404040"/>
          <w:sz w:val="20"/>
          <w:szCs w:val="20"/>
          <w:lang w:val="ru-RU"/>
        </w:rPr>
        <w:t>ОБЩИНА: ТРЪН</w:t>
      </w:r>
    </w:p>
    <w:p w:rsidR="003C707A" w:rsidRDefault="003C707A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3C707A" w:rsidRPr="006073E9" w:rsidTr="00806E68">
        <w:trPr>
          <w:trHeight w:val="2095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740A14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PER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</w:rPr>
              <w:t>3154/II-63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,Филиповци-Трън/Ездимирци.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Рехабилитация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реконструкция.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2 434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 </w:t>
            </w:r>
          </w:p>
          <w:p w:rsidR="003C707A" w:rsidRPr="006629BD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800 832,68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лв.без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ДДС.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Tr="00FC03EB">
        <w:trPr>
          <w:trHeight w:val="70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D4296E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път,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PER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</w:rPr>
              <w:t>3166 /II-63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,Трън-Стрезимировци/Цегриловци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lastRenderedPageBreak/>
              <w:t>Цялостно:Рехабилитация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реконструкция.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FC03EB">
            <w:pP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Дължина:3 434 км.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1 393 508,12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лв.без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ДДС.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RPr="00F10A61" w:rsidTr="00806E68">
        <w:trPr>
          <w:trHeight w:val="1548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E7445D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път.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PER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</w:rPr>
              <w:t>3167 /II-63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,Трън-Стрезимировци/Реяновци-Бохова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75761D" w:rsidRDefault="003C707A" w:rsidP="00806E68">
            <w:pPr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Цялостно:Рехабилитация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реконструкция.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Дължина:4 144 км.</w:t>
            </w:r>
          </w:p>
          <w:p w:rsidR="003C707A" w:rsidRPr="00951062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2 029 764,66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лв.без</w:t>
            </w:r>
            <w:proofErr w:type="spellEnd"/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ДДС.</w:t>
            </w:r>
          </w:p>
          <w:p w:rsidR="003C707A" w:rsidRPr="00F10A61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3C707A" w:rsidTr="00FC03EB">
        <w:trPr>
          <w:trHeight w:val="1674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1290E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,PER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</w:rPr>
              <w:t>3170 /III-637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,Трън-Вукан/Радово</w:t>
            </w:r>
          </w:p>
          <w:p w:rsidR="003C707A" w:rsidRPr="0075761D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Цялостно:Рехабилитация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реконструкция.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Дължина:1 854 км.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710 712,62 </w:t>
            </w: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лв.без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ДДС.</w:t>
            </w: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Tr="00806E68">
        <w:trPr>
          <w:trHeight w:val="2482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път,</w:t>
            </w:r>
            <w:r>
              <w:rPr>
                <w:rFonts w:ascii="Verdana" w:hAnsi="Verdana" w:cs="Calibri"/>
                <w:sz w:val="20"/>
                <w:szCs w:val="20"/>
              </w:rPr>
              <w:t>PER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3173 /</w:t>
            </w:r>
            <w:r>
              <w:rPr>
                <w:rFonts w:ascii="Verdana" w:hAnsi="Verdana" w:cs="Calibri"/>
                <w:sz w:val="20"/>
                <w:szCs w:val="20"/>
              </w:rPr>
              <w:t>III-6301/</w:t>
            </w:r>
            <w:r>
              <w:rPr>
                <w:rFonts w:ascii="Verdana" w:hAnsi="Verdana" w:cs="Calibri"/>
                <w:sz w:val="20"/>
                <w:szCs w:val="20"/>
                <w:lang w:val="bg-BG"/>
              </w:rPr>
              <w:t>,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bg-BG"/>
              </w:rPr>
              <w:t>гр.Трън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bg-BG"/>
              </w:rPr>
              <w:t>-Велиново/Милкьовци.</w:t>
            </w: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Цялостно:Рехабилитация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реконструкция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Дължина:3 912 км.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1 732 694,58 </w:t>
            </w: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лв.без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ДДС.</w:t>
            </w: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Tr="00806E68">
        <w:trPr>
          <w:trHeight w:val="527"/>
        </w:trPr>
        <w:tc>
          <w:tcPr>
            <w:tcW w:w="3657" w:type="dxa"/>
            <w:shd w:val="clear" w:color="auto" w:fill="auto"/>
          </w:tcPr>
          <w:p w:rsidR="003C707A" w:rsidRPr="00951062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път,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PER/3172/III-637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,Вукан-Горочевци/Кожинци</w:t>
            </w: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Цялостно:Рехабилитация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реконструкция.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път.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Дължина:658 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362 115,93лв.без ДДС.</w:t>
            </w:r>
          </w:p>
        </w:tc>
      </w:tr>
      <w:tr w:rsidR="003C707A" w:rsidTr="00806E68">
        <w:trPr>
          <w:trHeight w:val="1311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Гр.Трън,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.»Христо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Ботев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Частично:Дейности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габарити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елементи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пътното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платно.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Улица «Христо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Ботев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Дължина:470 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Търси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финансиране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Tr="00806E68">
        <w:trPr>
          <w:trHeight w:val="1365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»Стефан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Рангелов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3C707A" w:rsidRPr="00635680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Pr="00635680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Частично:Дейности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габарити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елементи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пътното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платно.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Улица»Стефан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Рангелов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</w:p>
          <w:p w:rsidR="003C707A" w:rsidRPr="00635680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Дължина:930 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Търси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финансиране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3C707A" w:rsidRPr="007026DC" w:rsidTr="00806E68">
        <w:trPr>
          <w:trHeight w:val="1680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Гр.Трън,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Атанас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Ботев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</w:p>
          <w:p w:rsidR="003C707A" w:rsidRPr="007026DC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Pr="007026DC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Частично:Дейности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габарити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елементи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пътното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платно.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Улица»Атанас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Ботев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»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Дължина:690 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Търси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финансиране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3C707A" w:rsidRPr="007026DC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Pr="007026DC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</w:tc>
      </w:tr>
      <w:tr w:rsidR="003C707A" w:rsidTr="00806E68">
        <w:trPr>
          <w:trHeight w:val="1687"/>
        </w:trPr>
        <w:tc>
          <w:tcPr>
            <w:tcW w:w="3657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С.Филиповци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Частично:Дейности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габарити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елементи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пътното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платно.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Улица.</w:t>
            </w:r>
          </w:p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sz w:val="20"/>
                <w:szCs w:val="20"/>
                <w:lang w:val="ru-RU"/>
              </w:rPr>
              <w:t>Дължина:140 м.</w:t>
            </w: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Търси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 w:cs="Calibri"/>
                <w:sz w:val="20"/>
                <w:szCs w:val="20"/>
                <w:lang w:val="ru-RU"/>
              </w:rPr>
              <w:t>финансиране</w:t>
            </w:r>
            <w:proofErr w:type="spellEnd"/>
            <w:r>
              <w:rPr>
                <w:rFonts w:ascii="Verdana" w:hAnsi="Verdana" w:cs="Calibri"/>
                <w:sz w:val="20"/>
                <w:szCs w:val="20"/>
                <w:lang w:val="ru-RU"/>
              </w:rPr>
              <w:t>.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3C707A" w:rsidRPr="006073E9" w:rsidTr="00806E68">
        <w:tc>
          <w:tcPr>
            <w:tcW w:w="3657" w:type="dxa"/>
            <w:shd w:val="clear" w:color="auto" w:fill="auto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proofErr w:type="gram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гр.Трън,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Денчо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Знеполски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..............................................</w:t>
            </w:r>
          </w:p>
          <w:p w:rsidR="003C707A" w:rsidRPr="006073E9" w:rsidRDefault="003C707A" w:rsidP="00FC03EB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ой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Подмяна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4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бр.пътни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320,00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3C707A" w:rsidRPr="006073E9" w:rsidTr="00806E68">
        <w:trPr>
          <w:trHeight w:val="411"/>
        </w:trPr>
        <w:tc>
          <w:tcPr>
            <w:tcW w:w="3657" w:type="dxa"/>
            <w:shd w:val="clear" w:color="auto" w:fill="auto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ъществуваща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маркировка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24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бр.пешеходни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пътеки.</w:t>
            </w: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3C707A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5000,00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3C707A" w:rsidRPr="006073E9" w:rsidTr="00806E68"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3C707A" w:rsidRPr="006073E9" w:rsidTr="00806E68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3C707A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3C707A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3C707A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3C707A" w:rsidRPr="006073E9" w:rsidRDefault="003C707A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DD7DC0" w:rsidRDefault="00DD7DC0" w:rsidP="00AB7CFD">
      <w:pPr>
        <w:shd w:val="clear" w:color="auto" w:fill="FFFFFF"/>
        <w:spacing w:after="0" w:line="240" w:lineRule="auto"/>
        <w:ind w:left="-567" w:right="-886"/>
        <w:jc w:val="both"/>
        <w:rPr>
          <w:rFonts w:ascii="Verdana" w:hAnsi="Verdana" w:cs="Calibri"/>
          <w:i/>
          <w:color w:val="404040"/>
          <w:sz w:val="20"/>
          <w:szCs w:val="20"/>
          <w:lang w:val="ru-RU"/>
        </w:rPr>
      </w:pPr>
    </w:p>
    <w:p w:rsidR="00930EE7" w:rsidRDefault="00930EE7" w:rsidP="00DD7DC0">
      <w:pPr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DD7DC0" w:rsidRPr="00DD7DC0" w:rsidRDefault="00930EE7" w:rsidP="00DD7DC0">
      <w:pPr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t>О</w:t>
      </w:r>
      <w:r w:rsidR="00DD7DC0">
        <w:rPr>
          <w:rFonts w:ascii="Verdana" w:hAnsi="Verdana" w:cs="Calibri"/>
          <w:b/>
          <w:color w:val="404040"/>
          <w:sz w:val="20"/>
          <w:szCs w:val="20"/>
          <w:lang w:val="ru-RU"/>
        </w:rPr>
        <w:t>БЩИНА: КОВАЧЕВЦИ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DD7DC0" w:rsidRPr="006073E9" w:rsidTr="00806E68">
        <w:trPr>
          <w:trHeight w:val="2234"/>
        </w:trPr>
        <w:tc>
          <w:tcPr>
            <w:tcW w:w="3657" w:type="dxa"/>
            <w:shd w:val="clear" w:color="auto" w:fill="auto"/>
          </w:tcPr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EC25E7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</w:rPr>
              <w:t>PER 3090</w:t>
            </w:r>
          </w:p>
        </w:tc>
        <w:tc>
          <w:tcPr>
            <w:tcW w:w="7513" w:type="dxa"/>
            <w:shd w:val="clear" w:color="auto" w:fill="auto"/>
          </w:tcPr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EC25E7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ялостно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Основен ремонт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0,680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км </w:t>
            </w:r>
          </w:p>
        </w:tc>
        <w:tc>
          <w:tcPr>
            <w:tcW w:w="1730" w:type="dxa"/>
            <w:shd w:val="clear" w:color="auto" w:fill="auto"/>
          </w:tcPr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393 000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DD7DC0" w:rsidRPr="006073E9" w:rsidTr="00806E68">
        <w:tc>
          <w:tcPr>
            <w:tcW w:w="3657" w:type="dxa"/>
            <w:shd w:val="clear" w:color="auto" w:fill="auto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 Лобош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С. Калище 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Брой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Подмяна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4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300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DD7DC0" w:rsidRPr="006073E9" w:rsidTr="00806E68">
        <w:trPr>
          <w:trHeight w:val="558"/>
        </w:trPr>
        <w:tc>
          <w:tcPr>
            <w:tcW w:w="3657" w:type="dxa"/>
            <w:shd w:val="clear" w:color="auto" w:fill="auto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с. Косача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DD7DC0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1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спирки</w:t>
            </w:r>
            <w:proofErr w:type="spellEnd"/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ED66AF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12 000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DD7DC0" w:rsidRPr="006073E9" w:rsidTr="00806E68"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DD7DC0" w:rsidRPr="006073E9" w:rsidTr="00806E68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DD7DC0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DD7DC0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DD7DC0" w:rsidRPr="006073E9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D7DC0" w:rsidRPr="006073E9" w:rsidRDefault="00DD7DC0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176CF8" w:rsidRDefault="00176CF8" w:rsidP="00806E68">
      <w:pPr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806E68" w:rsidRDefault="00806E68" w:rsidP="00806E68">
      <w:pPr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b/>
          <w:color w:val="404040"/>
          <w:sz w:val="20"/>
          <w:szCs w:val="20"/>
          <w:lang w:val="ru-RU"/>
        </w:rPr>
        <w:t xml:space="preserve">ОБЩИНА: 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>ЗЕМЕН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806E68" w:rsidRPr="00806E68" w:rsidTr="00806E68">
        <w:trPr>
          <w:trHeight w:val="2234"/>
        </w:trPr>
        <w:tc>
          <w:tcPr>
            <w:tcW w:w="3657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Гр.Земен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Земенски</w:t>
            </w:r>
            <w:proofErr w:type="spellEnd"/>
            <w:proofErr w:type="gram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манастир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ул.Земенско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кале,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ул.Райко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Даскалов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Райна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Княгиня»,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ул.»Белово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br/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Общински път 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</w:rPr>
              <w:t>PER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Земен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мах.“Марковска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“</w:t>
            </w:r>
          </w:p>
        </w:tc>
        <w:tc>
          <w:tcPr>
            <w:tcW w:w="7513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Частично: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Участъци от посочените улици- 2 км.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Цялостно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реконструкция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Дължина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2, 558 км.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</w:p>
        </w:tc>
        <w:tc>
          <w:tcPr>
            <w:tcW w:w="1730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208 000лв.  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1 665 375,11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 Без ДДС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2/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806E68" w:rsidRPr="00806E68" w:rsidTr="00806E68">
        <w:tc>
          <w:tcPr>
            <w:tcW w:w="3657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гр.Земен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Земенски</w:t>
            </w:r>
            <w:proofErr w:type="spellEnd"/>
            <w:proofErr w:type="gram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манастир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», 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Ремонт на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>Частично.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 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 xml:space="preserve">30 000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3/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806E68" w:rsidRPr="00806E68" w:rsidTr="00806E68">
        <w:tc>
          <w:tcPr>
            <w:tcW w:w="3657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Община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Подмяна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20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 xml:space="preserve">1 600лв. 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806E68" w:rsidRPr="00806E68" w:rsidTr="00806E68">
        <w:trPr>
          <w:trHeight w:val="411"/>
        </w:trPr>
        <w:tc>
          <w:tcPr>
            <w:tcW w:w="3657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гр.Земен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proofErr w:type="gram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Земенско</w:t>
            </w:r>
            <w:proofErr w:type="spellEnd"/>
            <w:proofErr w:type="gram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кале»,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ул.Земенски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манастир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» и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.»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Цар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Асен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съществуваща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маркировка на 6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пешеходни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пътеки. </w:t>
            </w:r>
          </w:p>
          <w:p w:rsidR="00806E68" w:rsidRPr="00806E68" w:rsidRDefault="00806E68" w:rsidP="00806E68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дължината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какъв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вид действие се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отнася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br/>
              <w:t xml:space="preserve">1 000лв. 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806E68" w:rsidRPr="00806E68" w:rsidTr="00806E68">
        <w:trPr>
          <w:trHeight w:val="749"/>
        </w:trPr>
        <w:tc>
          <w:tcPr>
            <w:tcW w:w="3657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806E6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улица/път/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В Община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Земен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няма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изградена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велосипедна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инфраструктура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806E6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</w:t>
            </w:r>
          </w:p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8/ Обезопасяване на пешеходни пътеки и изграждане на пешеходна инфраструктура</w:t>
            </w:r>
          </w:p>
        </w:tc>
      </w:tr>
      <w:tr w:rsidR="00806E68" w:rsidRPr="00806E68" w:rsidTr="00806E68"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неравности, др.), включително на входовете/изходите на населените места</w:t>
            </w:r>
          </w:p>
        </w:tc>
      </w:tr>
      <w:tr w:rsidR="00806E68" w:rsidRPr="00806E68" w:rsidTr="00806E68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806E68" w:rsidRPr="00806E68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806E68" w:rsidRPr="00806E68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806E68" w:rsidRPr="00806E68" w:rsidTr="00806E68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806E68" w:rsidRPr="00806E68" w:rsidRDefault="00806E68" w:rsidP="00806E68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13/ Други мерки по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 w:rsidRPr="00806E6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</w:tbl>
    <w:p w:rsidR="00806E68" w:rsidRPr="00806E68" w:rsidRDefault="00806E68" w:rsidP="00806E68">
      <w:pPr>
        <w:rPr>
          <w:sz w:val="8"/>
          <w:szCs w:val="8"/>
          <w:lang w:val="bg-BG"/>
        </w:rPr>
      </w:pPr>
    </w:p>
    <w:p w:rsidR="00806E68" w:rsidRPr="00806E68" w:rsidRDefault="00806E68" w:rsidP="00806E68">
      <w:pPr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806E68" w:rsidRPr="00DD7DC0" w:rsidRDefault="00806E68" w:rsidP="00DD7DC0">
      <w:pPr>
        <w:ind w:firstLine="720"/>
        <w:rPr>
          <w:rFonts w:ascii="Verdana" w:hAnsi="Verdana" w:cs="Calibri"/>
          <w:sz w:val="20"/>
          <w:szCs w:val="20"/>
          <w:lang w:val="ru-RU"/>
        </w:rPr>
      </w:pPr>
    </w:p>
    <w:sectPr w:rsidR="00806E68" w:rsidRPr="00DD7DC0" w:rsidSect="00EB179A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89" w:rsidRDefault="00F76589" w:rsidP="00EB179A">
      <w:pPr>
        <w:spacing w:after="0" w:line="240" w:lineRule="auto"/>
      </w:pPr>
      <w:r>
        <w:separator/>
      </w:r>
    </w:p>
  </w:endnote>
  <w:endnote w:type="continuationSeparator" w:id="0">
    <w:p w:rsidR="00F76589" w:rsidRDefault="00F76589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3EB" w:rsidRDefault="00FC03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2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03EB" w:rsidRDefault="00FC0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89" w:rsidRDefault="00F76589" w:rsidP="00EB179A">
      <w:pPr>
        <w:spacing w:after="0" w:line="240" w:lineRule="auto"/>
      </w:pPr>
      <w:r>
        <w:separator/>
      </w:r>
    </w:p>
  </w:footnote>
  <w:footnote w:type="continuationSeparator" w:id="0">
    <w:p w:rsidR="00F76589" w:rsidRDefault="00F76589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93B3C87"/>
    <w:multiLevelType w:val="hybridMultilevel"/>
    <w:tmpl w:val="89EC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995D59"/>
    <w:multiLevelType w:val="hybridMultilevel"/>
    <w:tmpl w:val="19789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="Calibri" w:hAnsi="Verdana" w:cs="Times New Roman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="Calibri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2F820B0"/>
    <w:multiLevelType w:val="hybridMultilevel"/>
    <w:tmpl w:val="567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6D7CF1"/>
    <w:multiLevelType w:val="hybridMultilevel"/>
    <w:tmpl w:val="AA70FC3E"/>
    <w:lvl w:ilvl="0" w:tplc="94923986">
      <w:numFmt w:val="bullet"/>
      <w:suff w:val="space"/>
      <w:lvlText w:val="•"/>
      <w:lvlJc w:val="left"/>
      <w:pPr>
        <w:ind w:left="0" w:firstLine="567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458C564B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2258"/>
    <w:multiLevelType w:val="hybridMultilevel"/>
    <w:tmpl w:val="528C23F4"/>
    <w:lvl w:ilvl="0" w:tplc="A7E0DB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35EE"/>
    <w:multiLevelType w:val="hybridMultilevel"/>
    <w:tmpl w:val="7C400224"/>
    <w:lvl w:ilvl="0" w:tplc="7A347F06">
      <w:numFmt w:val="bullet"/>
      <w:suff w:val="space"/>
      <w:lvlText w:val="-"/>
      <w:lvlJc w:val="left"/>
      <w:pPr>
        <w:ind w:left="0" w:firstLine="1418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F6B26"/>
    <w:multiLevelType w:val="hybridMultilevel"/>
    <w:tmpl w:val="FD58CBC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31945"/>
    <w:multiLevelType w:val="hybridMultilevel"/>
    <w:tmpl w:val="258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B4125"/>
    <w:multiLevelType w:val="multilevel"/>
    <w:tmpl w:val="C8747C7C"/>
    <w:lvl w:ilvl="0">
      <w:start w:val="1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0426B"/>
    <w:multiLevelType w:val="hybridMultilevel"/>
    <w:tmpl w:val="A306A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55376"/>
    <w:multiLevelType w:val="hybridMultilevel"/>
    <w:tmpl w:val="1444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D64"/>
    <w:multiLevelType w:val="hybridMultilevel"/>
    <w:tmpl w:val="1AC0A682"/>
    <w:lvl w:ilvl="0" w:tplc="4EFA35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7A9"/>
    <w:multiLevelType w:val="hybridMultilevel"/>
    <w:tmpl w:val="528C23F4"/>
    <w:lvl w:ilvl="0" w:tplc="A7E0DB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F29A6"/>
    <w:multiLevelType w:val="multilevel"/>
    <w:tmpl w:val="F2CAF724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155277"/>
    <w:multiLevelType w:val="hybridMultilevel"/>
    <w:tmpl w:val="CAE8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3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21"/>
  </w:num>
  <w:num w:numId="10">
    <w:abstractNumId w:val="28"/>
  </w:num>
  <w:num w:numId="11">
    <w:abstractNumId w:val="35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9"/>
  </w:num>
  <w:num w:numId="20">
    <w:abstractNumId w:val="16"/>
  </w:num>
  <w:num w:numId="21">
    <w:abstractNumId w:val="4"/>
  </w:num>
  <w:num w:numId="22">
    <w:abstractNumId w:val="32"/>
  </w:num>
  <w:num w:numId="23">
    <w:abstractNumId w:val="23"/>
  </w:num>
  <w:num w:numId="24">
    <w:abstractNumId w:val="0"/>
  </w:num>
  <w:num w:numId="25">
    <w:abstractNumId w:val="29"/>
  </w:num>
  <w:num w:numId="26">
    <w:abstractNumId w:val="20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31"/>
  </w:num>
  <w:num w:numId="32">
    <w:abstractNumId w:val="24"/>
  </w:num>
  <w:num w:numId="33">
    <w:abstractNumId w:val="25"/>
  </w:num>
  <w:num w:numId="34">
    <w:abstractNumId w:val="17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36F8E"/>
    <w:rsid w:val="0005102E"/>
    <w:rsid w:val="00062D08"/>
    <w:rsid w:val="00083356"/>
    <w:rsid w:val="00091E84"/>
    <w:rsid w:val="000B5B66"/>
    <w:rsid w:val="000F6CEE"/>
    <w:rsid w:val="00144801"/>
    <w:rsid w:val="00150D84"/>
    <w:rsid w:val="00161C1A"/>
    <w:rsid w:val="00176CF8"/>
    <w:rsid w:val="00193878"/>
    <w:rsid w:val="001A2267"/>
    <w:rsid w:val="001F1C6C"/>
    <w:rsid w:val="001F4AF4"/>
    <w:rsid w:val="00201B77"/>
    <w:rsid w:val="00221028"/>
    <w:rsid w:val="002362B1"/>
    <w:rsid w:val="0026541F"/>
    <w:rsid w:val="002707BF"/>
    <w:rsid w:val="002C7BEC"/>
    <w:rsid w:val="002D111B"/>
    <w:rsid w:val="003206C0"/>
    <w:rsid w:val="003230C1"/>
    <w:rsid w:val="00326B38"/>
    <w:rsid w:val="00341C3C"/>
    <w:rsid w:val="00364B27"/>
    <w:rsid w:val="00373826"/>
    <w:rsid w:val="003C707A"/>
    <w:rsid w:val="003E687F"/>
    <w:rsid w:val="0040170F"/>
    <w:rsid w:val="00403F86"/>
    <w:rsid w:val="004467FF"/>
    <w:rsid w:val="0045099A"/>
    <w:rsid w:val="004751EE"/>
    <w:rsid w:val="00477527"/>
    <w:rsid w:val="00486174"/>
    <w:rsid w:val="004C0379"/>
    <w:rsid w:val="004C7862"/>
    <w:rsid w:val="004D2318"/>
    <w:rsid w:val="004E75FB"/>
    <w:rsid w:val="00552251"/>
    <w:rsid w:val="0057022C"/>
    <w:rsid w:val="005A4502"/>
    <w:rsid w:val="005D3BA2"/>
    <w:rsid w:val="005D6B9F"/>
    <w:rsid w:val="005E2A70"/>
    <w:rsid w:val="00610EF3"/>
    <w:rsid w:val="00653026"/>
    <w:rsid w:val="00664499"/>
    <w:rsid w:val="006868A6"/>
    <w:rsid w:val="006919D1"/>
    <w:rsid w:val="00697D2A"/>
    <w:rsid w:val="006A3F3A"/>
    <w:rsid w:val="006B02F4"/>
    <w:rsid w:val="006B127C"/>
    <w:rsid w:val="006E43C4"/>
    <w:rsid w:val="006E6C72"/>
    <w:rsid w:val="006F7B7E"/>
    <w:rsid w:val="00714482"/>
    <w:rsid w:val="0072787A"/>
    <w:rsid w:val="007318EA"/>
    <w:rsid w:val="00756E52"/>
    <w:rsid w:val="007B21C7"/>
    <w:rsid w:val="007E5F8A"/>
    <w:rsid w:val="0080083A"/>
    <w:rsid w:val="00806E68"/>
    <w:rsid w:val="008348B3"/>
    <w:rsid w:val="00881649"/>
    <w:rsid w:val="008A6957"/>
    <w:rsid w:val="00903C38"/>
    <w:rsid w:val="00930EE7"/>
    <w:rsid w:val="00935E14"/>
    <w:rsid w:val="00960A01"/>
    <w:rsid w:val="00965F2E"/>
    <w:rsid w:val="00971F6A"/>
    <w:rsid w:val="00984B80"/>
    <w:rsid w:val="009B0254"/>
    <w:rsid w:val="00AB2559"/>
    <w:rsid w:val="00AB7CFD"/>
    <w:rsid w:val="00AC5E6D"/>
    <w:rsid w:val="00AD6B54"/>
    <w:rsid w:val="00B007FC"/>
    <w:rsid w:val="00B31FBA"/>
    <w:rsid w:val="00B34388"/>
    <w:rsid w:val="00B41AB0"/>
    <w:rsid w:val="00B52DBD"/>
    <w:rsid w:val="00B63FE7"/>
    <w:rsid w:val="00B778FC"/>
    <w:rsid w:val="00B90BD9"/>
    <w:rsid w:val="00BA77DB"/>
    <w:rsid w:val="00BA7DE0"/>
    <w:rsid w:val="00BD3E63"/>
    <w:rsid w:val="00BE3988"/>
    <w:rsid w:val="00BE6000"/>
    <w:rsid w:val="00C10D2E"/>
    <w:rsid w:val="00C11B6C"/>
    <w:rsid w:val="00C13DE0"/>
    <w:rsid w:val="00C36480"/>
    <w:rsid w:val="00C520A8"/>
    <w:rsid w:val="00C52B05"/>
    <w:rsid w:val="00C74E24"/>
    <w:rsid w:val="00CA3FAE"/>
    <w:rsid w:val="00CB24D9"/>
    <w:rsid w:val="00CF32CD"/>
    <w:rsid w:val="00D621EE"/>
    <w:rsid w:val="00D65899"/>
    <w:rsid w:val="00DD3DF7"/>
    <w:rsid w:val="00DD7DC0"/>
    <w:rsid w:val="00EA1CFD"/>
    <w:rsid w:val="00EA66B0"/>
    <w:rsid w:val="00EB179A"/>
    <w:rsid w:val="00ED66AF"/>
    <w:rsid w:val="00EE72D9"/>
    <w:rsid w:val="00EF3009"/>
    <w:rsid w:val="00F109FA"/>
    <w:rsid w:val="00F1212D"/>
    <w:rsid w:val="00F200BD"/>
    <w:rsid w:val="00F42D4B"/>
    <w:rsid w:val="00F67797"/>
    <w:rsid w:val="00F76589"/>
    <w:rsid w:val="00FC03EB"/>
    <w:rsid w:val="00FD1FD3"/>
    <w:rsid w:val="00FF0877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6266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267"/>
    <w:pPr>
      <w:keepNext/>
      <w:keepLines/>
      <w:spacing w:before="40" w:after="0" w:line="240" w:lineRule="auto"/>
      <w:ind w:firstLine="567"/>
      <w:jc w:val="both"/>
      <w:outlineLvl w:val="1"/>
    </w:pPr>
    <w:rPr>
      <w:rFonts w:ascii="Calibri Light" w:eastAsia="Times New Roman" w:hAnsi="Calibri Light"/>
      <w:color w:val="2E74B5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1A2267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/>
      <w:b/>
      <w:bCs/>
      <w:color w:val="FFFFFF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7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79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1"/>
    <w:basedOn w:val="a"/>
    <w:uiPriority w:val="34"/>
    <w:qFormat/>
    <w:rsid w:val="005E2A70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1A2267"/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1A2267"/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table" w:customStyle="1" w:styleId="TableGrid1">
    <w:name w:val="Table Grid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Колонтитул"/>
    <w:rsid w:val="001A22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ной текст (6) Exact"/>
    <w:link w:val="6"/>
    <w:rsid w:val="001A2267"/>
    <w:rPr>
      <w:rFonts w:ascii="Garamond" w:eastAsia="Garamond" w:hAnsi="Garamond" w:cs="Garamond"/>
      <w:sz w:val="40"/>
      <w:szCs w:val="40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1A2267"/>
    <w:rPr>
      <w:w w:val="200"/>
      <w:sz w:val="46"/>
      <w:szCs w:val="46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1A2267"/>
    <w:pPr>
      <w:widowControl w:val="0"/>
      <w:shd w:val="clear" w:color="auto" w:fill="FFFFFF"/>
      <w:spacing w:after="0" w:line="437" w:lineRule="exact"/>
    </w:pPr>
    <w:rPr>
      <w:rFonts w:ascii="Garamond" w:eastAsia="Garamond" w:hAnsi="Garamond" w:cs="Garamond"/>
      <w:sz w:val="40"/>
      <w:szCs w:val="40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1A2267"/>
    <w:pPr>
      <w:widowControl w:val="0"/>
      <w:shd w:val="clear" w:color="auto" w:fill="FFFFFF"/>
      <w:spacing w:after="0" w:line="437" w:lineRule="exact"/>
    </w:pPr>
    <w:rPr>
      <w:rFonts w:asciiTheme="minorHAnsi" w:eastAsiaTheme="minorHAnsi" w:hAnsiTheme="minorHAnsi" w:cstheme="minorBidi"/>
      <w:w w:val="200"/>
      <w:sz w:val="46"/>
      <w:szCs w:val="46"/>
      <w:lang w:val="ru-RU" w:eastAsia="ru-RU" w:bidi="ru-RU"/>
    </w:rPr>
  </w:style>
  <w:style w:type="character" w:customStyle="1" w:styleId="21">
    <w:name w:val="Основной текст (2)"/>
    <w:rsid w:val="001A22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1">
    <w:name w:val="Основной текст (3)"/>
    <w:rsid w:val="001A2267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"/>
    <w:rsid w:val="001A226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5pt">
    <w:name w:val="Основной текст (2) + 10.5 pt;Курсив"/>
    <w:rsid w:val="001A226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5">
    <w:name w:val="Основной текст (5)"/>
    <w:rsid w:val="001A226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table" w:customStyle="1" w:styleId="TableGrid11">
    <w:name w:val="Table Grid1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uiPriority w:val="59"/>
    <w:rsid w:val="001A22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A2267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1A2267"/>
  </w:style>
  <w:style w:type="paragraph" w:styleId="ac">
    <w:name w:val="No Spacing"/>
    <w:aliases w:val="Таблици/графики"/>
    <w:uiPriority w:val="1"/>
    <w:qFormat/>
    <w:rsid w:val="001A2267"/>
    <w:pPr>
      <w:spacing w:after="80" w:line="240" w:lineRule="auto"/>
      <w:jc w:val="center"/>
    </w:pPr>
    <w:rPr>
      <w:rFonts w:ascii="Verdana" w:eastAsia="Calibri" w:hAnsi="Verdana" w:cs="Times New Roman"/>
      <w:spacing w:val="20"/>
      <w:sz w:val="20"/>
      <w:lang w:val="bg-BG"/>
    </w:rPr>
  </w:style>
  <w:style w:type="table" w:customStyle="1" w:styleId="TableGrid3">
    <w:name w:val="Table Grid3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1A2267"/>
  </w:style>
  <w:style w:type="paragraph" w:styleId="1">
    <w:name w:val="toc 1"/>
    <w:basedOn w:val="a"/>
    <w:next w:val="a"/>
    <w:autoRedefine/>
    <w:uiPriority w:val="39"/>
    <w:unhideWhenUsed/>
    <w:rsid w:val="001A2267"/>
    <w:pPr>
      <w:spacing w:before="360" w:after="360" w:line="240" w:lineRule="auto"/>
    </w:pPr>
    <w:rPr>
      <w:rFonts w:cs="Calibri"/>
      <w:b/>
      <w:bCs/>
      <w:caps/>
      <w:color w:val="404040"/>
      <w:u w:val="single"/>
      <w:lang w:val="bg-BG"/>
    </w:rPr>
  </w:style>
  <w:style w:type="paragraph" w:styleId="22">
    <w:name w:val="toc 2"/>
    <w:basedOn w:val="a"/>
    <w:next w:val="a"/>
    <w:autoRedefine/>
    <w:uiPriority w:val="39"/>
    <w:unhideWhenUsed/>
    <w:rsid w:val="001A2267"/>
    <w:pPr>
      <w:tabs>
        <w:tab w:val="right" w:pos="9736"/>
      </w:tabs>
      <w:spacing w:after="0" w:line="240" w:lineRule="auto"/>
    </w:pPr>
    <w:rPr>
      <w:rFonts w:cs="Calibri"/>
      <w:b/>
      <w:bCs/>
      <w:smallCaps/>
      <w:color w:val="404040"/>
      <w:lang w:val="bg-BG"/>
    </w:rPr>
  </w:style>
  <w:style w:type="paragraph" w:styleId="32">
    <w:name w:val="toc 3"/>
    <w:basedOn w:val="a"/>
    <w:next w:val="a"/>
    <w:autoRedefine/>
    <w:uiPriority w:val="39"/>
    <w:unhideWhenUsed/>
    <w:rsid w:val="001A2267"/>
    <w:pPr>
      <w:spacing w:after="0" w:line="240" w:lineRule="auto"/>
    </w:pPr>
    <w:rPr>
      <w:rFonts w:cs="Calibri"/>
      <w:smallCaps/>
      <w:color w:val="404040"/>
      <w:lang w:val="bg-BG"/>
    </w:rPr>
  </w:style>
  <w:style w:type="character" w:styleId="ad">
    <w:name w:val="Hyperlink"/>
    <w:uiPriority w:val="99"/>
    <w:unhideWhenUsed/>
    <w:rsid w:val="001A226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2267"/>
    <w:pPr>
      <w:spacing w:after="0" w:line="240" w:lineRule="auto"/>
      <w:ind w:firstLine="567"/>
      <w:jc w:val="both"/>
    </w:pPr>
    <w:rPr>
      <w:rFonts w:ascii="Consolas" w:hAnsi="Consolas"/>
      <w:color w:val="404040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A2267"/>
    <w:rPr>
      <w:rFonts w:ascii="Consolas" w:eastAsia="Calibri" w:hAnsi="Consolas" w:cs="Times New Roman"/>
      <w:color w:val="404040"/>
      <w:sz w:val="20"/>
      <w:szCs w:val="20"/>
      <w:lang w:val="bg-BG"/>
    </w:rPr>
  </w:style>
  <w:style w:type="character" w:styleId="ae">
    <w:name w:val="Strong"/>
    <w:uiPriority w:val="22"/>
    <w:qFormat/>
    <w:rsid w:val="001A2267"/>
    <w:rPr>
      <w:b/>
      <w:bCs/>
    </w:rPr>
  </w:style>
  <w:style w:type="paragraph" w:styleId="af">
    <w:name w:val="footnote text"/>
    <w:basedOn w:val="a"/>
    <w:link w:val="af0"/>
    <w:unhideWhenUsed/>
    <w:rsid w:val="001A2267"/>
    <w:pPr>
      <w:spacing w:after="0" w:line="36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f0">
    <w:name w:val="Текст под линия Знак"/>
    <w:basedOn w:val="a0"/>
    <w:link w:val="af"/>
    <w:rsid w:val="001A226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f1">
    <w:name w:val="footnote reference"/>
    <w:aliases w:val="SUPERS,-E Fußnotenzeichen,number,Footnote reference number,Footnote symbol,note TESI,-E Fu?notenzeichen"/>
    <w:unhideWhenUsed/>
    <w:rsid w:val="001A2267"/>
    <w:rPr>
      <w:vertAlign w:val="superscript"/>
    </w:rPr>
  </w:style>
  <w:style w:type="character" w:styleId="af2">
    <w:name w:val="annotation reference"/>
    <w:uiPriority w:val="99"/>
    <w:semiHidden/>
    <w:unhideWhenUsed/>
    <w:rsid w:val="001A22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A2267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1A2267"/>
    <w:rPr>
      <w:rFonts w:ascii="Verdana" w:eastAsia="Calibri" w:hAnsi="Verdana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A2267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1A2267"/>
    <w:rPr>
      <w:rFonts w:ascii="Verdana" w:eastAsia="Calibri" w:hAnsi="Verdana" w:cs="Times New Roman"/>
      <w:b/>
      <w:bCs/>
      <w:sz w:val="20"/>
      <w:szCs w:val="20"/>
      <w:lang w:val="bg-BG"/>
    </w:rPr>
  </w:style>
  <w:style w:type="table" w:customStyle="1" w:styleId="TableGrid21">
    <w:name w:val="Table Grid2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uiPriority w:val="99"/>
    <w:semiHidden/>
    <w:unhideWhenUsed/>
    <w:rsid w:val="001A2267"/>
  </w:style>
  <w:style w:type="table" w:customStyle="1" w:styleId="TableGrid4">
    <w:name w:val="Table Grid4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1A2267"/>
    <w:rPr>
      <w:color w:val="954F72"/>
      <w:u w:val="single"/>
    </w:rPr>
  </w:style>
  <w:style w:type="table" w:customStyle="1" w:styleId="TableGrid41">
    <w:name w:val="Table Grid4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1A2267"/>
  </w:style>
  <w:style w:type="table" w:customStyle="1" w:styleId="TableGrid6">
    <w:name w:val="Table Grid6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1A2267"/>
  </w:style>
  <w:style w:type="table" w:customStyle="1" w:styleId="TableGrid12">
    <w:name w:val="Table Grid12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7"/>
    <w:uiPriority w:val="39"/>
    <w:rsid w:val="001A2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1612-9965-422A-B045-533C5F0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21</Pages>
  <Words>4085</Words>
  <Characters>23291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110</cp:revision>
  <dcterms:created xsi:type="dcterms:W3CDTF">2022-08-05T08:48:00Z</dcterms:created>
  <dcterms:modified xsi:type="dcterms:W3CDTF">2023-03-09T12:59:00Z</dcterms:modified>
</cp:coreProperties>
</file>